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AE" w:rsidRPr="002950AE" w:rsidRDefault="002950AE" w:rsidP="002950AE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3.5pt" o:ole="" filled="t">
            <v:fill color2="black"/>
            <v:imagedata r:id="rId7" o:title=""/>
          </v:shape>
          <o:OLEObject Type="Embed" ProgID="CorelDRAW" ShapeID="_x0000_i1025" DrawAspect="Content" ObjectID="_1652701236" r:id="rId8"/>
        </w:object>
      </w:r>
    </w:p>
    <w:p w:rsidR="002950AE" w:rsidRPr="002950AE" w:rsidRDefault="002950AE" w:rsidP="002950AE">
      <w:pPr>
        <w:autoSpaceDE w:val="0"/>
        <w:ind w:left="-284"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</w:p>
    <w:p w:rsidR="002950AE" w:rsidRPr="002950AE" w:rsidRDefault="002950AE" w:rsidP="002950AE">
      <w:pPr>
        <w:autoSpaceDE w:val="0"/>
        <w:spacing w:after="0" w:line="240" w:lineRule="auto"/>
        <w:ind w:left="-284" w:right="-284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Na osnovu člana 21 Statuta Javnog preduzeća za upravljanje morskim dobrom, člana 5 i 7 Zakona o morskom dobru ("Sl. list RCG", br. 14/92, 27/94  i „Sl.list CG“, br. 51/08, 21/09, 73/10 i 40/10 ), a u vezi sa članom 10 stav 1 alineja 12, članom 29 stav 1 i članom 29 stav 3 Zakona o državnoj imovini ("Sl. list CG", br. 21/09 i 40/11), članova 4, 29 i 31 Uredbe o prodaji i davanju u zakup stvari u državnoj imovini (“Sl. list CG” br. 44/10),  saglasno Odluci Upravnog odbora broj:0203-388/7 od 28.01.2019.god o davanju u zakup/na korišćenje djelova morskog dobra prema Programu privremenih objekata u zoni morskog dobra i Atlasu crnogorskih plaža i kupališta za period 2019.-2023.god, na koju je saglasnost dala Vlada Crne Gore Zaključkom broj:07-263 od 07.02.2019.god, prema Programu objekata obalne infrastrukture u zoni morskog dobra za period 2019.2023.god, i Izmjenama i dopunama 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Programa objekata obalne infrastrukture koje su usvojene od strane Upravnog odbora javnog preduzeca broj 0203-1091/6 od 27.03.2020.godine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i saglasno Odluci Upravnog odbora broj:0203-2023/10-1 od 10.05.2019.godine o objavljivanju javnog poziva za javno nadmetanje za zakup izgrađenih djelova morskog dobra, kao i Zakljuccima Upravnog odbora broj 0203-1292/3 od 30.04.2020.godine Javno preduzeće za upravljanje morskim dobrom objavljuje </w:t>
      </w:r>
    </w:p>
    <w:p w:rsidR="002950AE" w:rsidRPr="002950AE" w:rsidRDefault="002950AE" w:rsidP="002950AE">
      <w:pPr>
        <w:suppressAutoHyphens/>
        <w:autoSpaceDE w:val="0"/>
        <w:autoSpaceDN w:val="0"/>
        <w:adjustRightInd w:val="0"/>
        <w:ind w:right="-284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2950AE" w:rsidRPr="002950AE" w:rsidRDefault="001C69F1" w:rsidP="002950AE">
      <w:pPr>
        <w:tabs>
          <w:tab w:val="left" w:pos="9165"/>
        </w:tabs>
        <w:spacing w:line="256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P O N O V LJ E NI   </w:t>
      </w:r>
      <w:r w:rsidR="002950AE" w:rsidRPr="002950A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 O Z I V</w:t>
      </w:r>
    </w:p>
    <w:p w:rsidR="002950AE" w:rsidRPr="002950AE" w:rsidRDefault="002950AE" w:rsidP="002950AE">
      <w:pPr>
        <w:tabs>
          <w:tab w:val="left" w:pos="9165"/>
        </w:tabs>
        <w:spacing w:line="256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 JAVNO NADMETANJE ZA ZAKUP PRISTANIŠTA I PRIVEZIŠTA</w:t>
      </w:r>
    </w:p>
    <w:p w:rsidR="002950AE" w:rsidRPr="002950AE" w:rsidRDefault="002950AE" w:rsidP="002950AE">
      <w:pPr>
        <w:tabs>
          <w:tab w:val="left" w:pos="9165"/>
        </w:tabs>
        <w:spacing w:line="256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BROJ: 0209-</w:t>
      </w:r>
      <w:r w:rsidR="001C69F1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1715/1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od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3.06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.2020.god.</w:t>
      </w:r>
    </w:p>
    <w:p w:rsidR="002950AE" w:rsidRPr="002950AE" w:rsidRDefault="002950AE" w:rsidP="002950AE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  <w:r w:rsidRPr="002950AE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Predmet</w:t>
      </w:r>
    </w:p>
    <w:p w:rsidR="002950AE" w:rsidRPr="002950AE" w:rsidRDefault="002950AE" w:rsidP="002950AE">
      <w:pPr>
        <w:tabs>
          <w:tab w:val="left" w:pos="142"/>
        </w:tabs>
        <w:suppressAutoHyphens/>
        <w:autoSpaceDE w:val="0"/>
        <w:autoSpaceDN w:val="0"/>
        <w:adjustRightInd w:val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Predmet ovog poziva je davanje u zakup/na korišćenje djelova morskog dobra i to:</w:t>
      </w:r>
    </w:p>
    <w:p w:rsidR="002950AE" w:rsidRPr="002950AE" w:rsidRDefault="002950AE" w:rsidP="002950AE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Lokacije pristaništa i privezišta koje su određene Programom objekata obalne infrastrukture koje je donijelo Javno preduzeće za upravljanje morskim dobrom Odlukom Upravnog odbora broj 0203-3884/4 na sjednici održanoj 08.01.2019.god. kao i Izmjenama i dopunama Programa objekata obalne infrastrukture koje su usvojene od strane Upravnog odbora javnog preduzeca broj 0203-1091/6 od 27.03.2020.godine i lokacija predviđena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Izmjenama i dopunama P</w:t>
      </w:r>
      <w:r w:rsidRPr="002950AE">
        <w:rPr>
          <w:rFonts w:ascii="Times New Roman" w:eastAsia="Calibri" w:hAnsi="Times New Roman" w:cs="Times New Roman"/>
          <w:sz w:val="24"/>
          <w:szCs w:val="24"/>
        </w:rPr>
        <w:t>rograma</w:t>
      </w:r>
      <w:r w:rsidRPr="002950AE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</w:rPr>
        <w:t>privremenih objekata u</w:t>
      </w:r>
      <w:r w:rsidRPr="002950AE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</w:rPr>
        <w:t>zoni morskog</w:t>
      </w:r>
      <w:r w:rsidRPr="002950A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</w:rPr>
        <w:t>dobra</w:t>
      </w:r>
      <w:r w:rsidRPr="002950A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</w:rPr>
        <w:t>za</w:t>
      </w:r>
      <w:r w:rsidRPr="002950A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</w:rPr>
        <w:t>period</w:t>
      </w:r>
      <w:r w:rsidRPr="002950A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</w:rPr>
        <w:t>2019-2023.</w:t>
      </w:r>
      <w:r w:rsidRPr="002950A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</w:rPr>
        <w:t>god.</w:t>
      </w:r>
      <w:r w:rsidR="009F1F6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koje je donijelo Ministarstvo</w:t>
      </w:r>
      <w:r w:rsidRPr="002950A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održivog razvoja i turizma, broj:01-40/12 od 22.01.2020.god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na sledećim lokacijama: </w:t>
      </w:r>
    </w:p>
    <w:p w:rsidR="002950AE" w:rsidRPr="002950AE" w:rsidRDefault="002950AE" w:rsidP="002950AE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950AE" w:rsidRPr="002950AE" w:rsidRDefault="002950AE" w:rsidP="002950A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2950AE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OPŠTINA HERCEG NOVI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950AE" w:rsidRPr="002950AE" w:rsidTr="002950AE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  BAOŠIĆI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sz w:val="24"/>
          <w:szCs w:val="24"/>
        </w:rPr>
        <w:t>: Pristanište i privezište sa madraćem u Baošićima na k.p. 755,756,757,758,759  K.O.Baošići sa pripadajućim akvaprostorom, dužine operativne obale za pristajanje plovila L=17.5m, Pkopna=35m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sz w:val="24"/>
          <w:szCs w:val="24"/>
        </w:rPr>
        <w:t>,  operativne obale za komunalne vezove L=35m. Pkopna=70m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sz w:val="24"/>
          <w:szCs w:val="24"/>
        </w:rPr>
        <w:t>, operativne obale za komercijalne vezove L=60m, Pkopna 120m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Površina akvatorija privezišta iznosi 400m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je označena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NAMJENA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: pristajanje komunalni i komercijalni privez plovnih objekata </w:t>
      </w:r>
    </w:p>
    <w:p w:rsidR="002950AE" w:rsidRPr="002950AE" w:rsidRDefault="002950AE" w:rsidP="002950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1.600,00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2950AE" w:rsidRPr="002950AE" w:rsidRDefault="002950AE" w:rsidP="002950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2950AE" w:rsidRDefault="002950AE" w:rsidP="002950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1C69F1" w:rsidRDefault="001C69F1" w:rsidP="002950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1C69F1" w:rsidRPr="002950AE" w:rsidRDefault="001C69F1" w:rsidP="002950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50AE" w:rsidRPr="002950AE" w:rsidRDefault="002950AE" w:rsidP="002950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OPŠTINA KOTOR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2950AE" w:rsidRPr="002950AE" w:rsidTr="002950AE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LIPCI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i privezište na k.p. 411 KO Strp  sa  dužinom operativne obale za pristajanje plovnih objekata L=26m, P kopna= 316m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, dužina operativne obale za komunalni privez L=24m, P kopna= 48m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Površina akvatorija privezišta iznosi 1450m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označena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NAMJENA: pristajanje i privez komunalnih plovnih objekata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4.212,00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2950AE" w:rsidRPr="002950AE" w:rsidTr="002950AE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 DOBROTA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i privezište na k.p. 409 K.O. Dobrota sa dužinom operativne obale za pristajanje  L=12m, površina kopna= 24m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označena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NAMJENA: pristajanje i privez plovnih objekata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2.148,00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Na pristaništu se montiraju plutajući pontoni dužine L=45m i širine 2m, što čini P od 90m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sz w:val="24"/>
          <w:szCs w:val="24"/>
        </w:rPr>
        <w:t>. Površina akvatorija privezišta iznosi 530m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. Oznaka lokacije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 xml:space="preserve">9.6 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u Programu privremenih objekata u zoni morskog dobra za Opštinu Kotor.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i/>
          <w:sz w:val="24"/>
          <w:szCs w:val="24"/>
        </w:rPr>
        <w:t>Za stavljanje u funkciju plutajućih pontona potrebno je dobiti saglasnost Lučke kapetanije Kotor i saglasnost od Uprave za zaštitu kulturnih dobara.</w:t>
      </w:r>
    </w:p>
    <w:p w:rsidR="002950AE" w:rsidRPr="002950AE" w:rsidRDefault="002950AE" w:rsidP="002950AE">
      <w:pPr>
        <w:ind w:right="-28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2950AE" w:rsidRPr="002950AE" w:rsidTr="002950AE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2.3. DOBROTA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i privezište na k.p.1034 i 1035 KO Dobrota sa  dužinom operativne obale za pristajanje  L=126m, P kopna= 252m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2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, dužina operativne obale za komunalni privez plovnih objekata L=120m a P kopna=240m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Površina akvatorija privezišta iznosi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825m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označena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NAMJENA: pristajanje  i komunalni privez plovnih objekata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4.674,00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36105895"/>
    </w:p>
    <w:tbl>
      <w:tblPr>
        <w:tblW w:w="949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2950AE" w:rsidRPr="002950AE" w:rsidTr="002950AE">
        <w:trPr>
          <w:trHeight w:val="375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bookmarkEnd w:id="0"/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2.4. PRČANJ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: Čvrsto izgrađeno pristanište i  privezište na k.p. 112 KO Prčanj,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Mandrać 1 - dužine operativne obale za pristajanje L1=28,4m a P1 kopna=42,6m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2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, dužina operativne obale za komunalni privez plovnih objekata L1=80m a P1 kopna=160m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Mandrać 2- dužine operativne obale za pristajanje L2=25m a P2 kopna=37,5m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, dužina operativne obale za komunalni privez plovnih objekata L2=60m  a P 2 kopna=120m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Površina akvatorija mandraća1 iznosi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320m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Površina akvatorija mandraća 2 iznosi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239m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označena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19.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NAMJENA: pristajanje i komunalni privez plovnih objekata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1.790,00 EURA</w:t>
      </w:r>
    </w:p>
    <w:p w:rsid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D48" w:rsidRDefault="00120D48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D48" w:rsidRDefault="00120D48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D48" w:rsidRPr="002950AE" w:rsidRDefault="00120D48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4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2950AE" w:rsidRPr="002950AE" w:rsidTr="002950AE">
        <w:trPr>
          <w:trHeight w:val="375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STOLIV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: Čvrsto izgrađeno  privezište na k.p. 272 KO Stoliv I, sa dužinom operativne obale za pristajanje L=20m, P kopna=40m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Površina akvatorija privezišta iznosi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225m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označena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20.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NAMJENA: pristajanje i komunalni privez plovnih objekata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930,00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Napomena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: Na pristaništu se postavlja montažno demontažni privremeni objekat (oprema za brodove na solarni pogon za prevoz putnika u vidu pristupnog trougla dimenzija 1x0,7m-rezervisani pristupni prostor 22x7m) lokacija je označena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 xml:space="preserve">18.8 </w:t>
      </w:r>
      <w:r w:rsidRPr="002950AE">
        <w:rPr>
          <w:rFonts w:ascii="Times New Roman" w:eastAsia="Calibri" w:hAnsi="Times New Roman" w:cs="Times New Roman"/>
          <w:sz w:val="24"/>
          <w:szCs w:val="24"/>
        </w:rPr>
        <w:t>u Programu privremenih objekata. Navedenu opremu postavlja firma „International Grants and consulting“. Zakupac pristaništa je u obavezi da omogući postavljanje predmetne opreme, omogući pristup plovilima na solarni pogon po režimu predviđenom tekstom ovog Javnog poziva u dijelu „Izmjena i dopuna Kriterijuma“.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950AE" w:rsidRPr="002950AE" w:rsidTr="002950AE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2.6</w:t>
            </w:r>
            <w:r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MUO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i privezište na k.p. 170 KO Muo sa  dužinom operativne obale za pristajanje plovnih objekata L=30m, P kopna= 60m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, dužina operativne obale za komercijalni privez plovnih objekata L=121m, P kopna=242m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2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, dužina operativne obale za komunalni privez plovila L=65m, P kopna=130m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Površina akvatorija za komercijalni privez iznosi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1470m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Površina akvatorija za komunalni privez iznosi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665m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označena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14.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NAMJENA: pristajanje, komunalni i komercijalni privez plovnih objekata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7.186,00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 EURA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Na pristaništu se postavlja montažno demontažni privremeni objekat ( oprema za brodove na solarni pogon za prevoz putnika u vidu pristupnog trougla dimenzija 1x0,7m-rezervisani pristupni prostor 22x7m) lokacija je označena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15.1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u Programu privremenih objekata u zoni morskog dobra za Opštinu Kotor. Navedenu opremu postavlja firma „International Grants and consulting“. Zakupac pristaništa je u obavezi da omogući postavljanje predmetne opreme, omogući pristup plovilima na solarni pogon po režimu predviđenom tekstom ovog Javnog poziva u dijelu „Izmjena i dopuna Kriterijuma“.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TIVAT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950AE" w:rsidRPr="002950AE" w:rsidTr="002950AE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1C69F1" w:rsidP="002950A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3.1.</w:t>
            </w:r>
            <w:r w:rsidR="002950AE" w:rsidRPr="0029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KRAŠIĆI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: Čvrsto izgrađeno pristanište i privezište ispred k.p. 955/2 KO Krašići sa  dužinom operativne obale za pristajanje plovila  L=40m, Dužina operativne obale za komunalni privez plovila L=44m, P kopna= 88m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2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Površina akvatorijuma privezišta iznosi 870m</w:t>
      </w:r>
      <w:r w:rsidRPr="002950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 označena 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>u  Programu objekata obalne infrastrukture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za period 2019-2023 god.</w:t>
      </w:r>
      <w:r w:rsidRPr="002950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Cs/>
          <w:sz w:val="24"/>
          <w:szCs w:val="24"/>
        </w:rPr>
        <w:t>NAMJENA: pristajanje  i privez komunalnih plovnih objekata</w:t>
      </w:r>
    </w:p>
    <w:p w:rsid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ZAKUPA: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2.876,00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120D48" w:rsidRDefault="00120D48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D48" w:rsidRDefault="00120D48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D48" w:rsidRDefault="00120D48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BUDVA</w:t>
      </w:r>
    </w:p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950AE" w:rsidRPr="002950AE" w:rsidTr="002950AE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2950AE" w:rsidRPr="002950AE" w:rsidRDefault="002950AE" w:rsidP="002950A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C6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.1. MOGREN </w:t>
            </w:r>
          </w:p>
        </w:tc>
      </w:tr>
    </w:tbl>
    <w:p w:rsidR="002950AE" w:rsidRPr="002950AE" w:rsidRDefault="002950AE" w:rsidP="002950A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D48" w:rsidRPr="00120D48" w:rsidRDefault="002950AE" w:rsidP="00120D4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0D48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Pr="00120D48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120D48" w:rsidRPr="00120D48">
        <w:rPr>
          <w:rFonts w:ascii="Times New Roman" w:eastAsia="Calibri" w:hAnsi="Times New Roman" w:cs="Times New Roman"/>
          <w:bCs/>
          <w:sz w:val="24"/>
          <w:szCs w:val="24"/>
        </w:rPr>
        <w:t xml:space="preserve"> Akvatorijum ispred </w:t>
      </w:r>
      <w:r w:rsidR="00120D48" w:rsidRPr="00120D48">
        <w:rPr>
          <w:rFonts w:ascii="Times New Roman" w:hAnsi="Times New Roman" w:cs="Times New Roman"/>
          <w:sz w:val="24"/>
          <w:szCs w:val="24"/>
          <w:lang w:val="en-US"/>
        </w:rPr>
        <w:t>3045 KO Budva</w:t>
      </w:r>
      <w:r w:rsidR="00120D48" w:rsidRPr="00120D48">
        <w:rPr>
          <w:rFonts w:ascii="Times New Roman" w:hAnsi="Times New Roman" w:cs="Times New Roman"/>
          <w:sz w:val="24"/>
          <w:szCs w:val="24"/>
          <w:lang w:val="en-US"/>
        </w:rPr>
        <w:t xml:space="preserve"> za postavljanje plutajućeg privremenog objekta dimenzija </w:t>
      </w:r>
      <w:r w:rsidR="00120D48" w:rsidRPr="00120D48">
        <w:rPr>
          <w:rFonts w:ascii="Times New Roman" w:hAnsi="Times New Roman" w:cs="Times New Roman"/>
          <w:sz w:val="24"/>
          <w:szCs w:val="24"/>
          <w:lang w:val="en-US"/>
        </w:rPr>
        <w:t>P= max 12.5m</w:t>
      </w:r>
      <w:r w:rsidR="00120D48">
        <w:rPr>
          <w:rFonts w:ascii="Times New Roman" w:hAnsi="Times New Roman" w:cs="Times New Roman"/>
          <w:sz w:val="24"/>
          <w:szCs w:val="24"/>
          <w:lang w:val="en-US"/>
        </w:rPr>
        <w:t xml:space="preserve"> sa namjenom pristajanja</w:t>
      </w:r>
      <w:r w:rsidR="00120D48" w:rsidRPr="00120D48">
        <w:rPr>
          <w:rFonts w:ascii="Times New Roman" w:hAnsi="Times New Roman" w:cs="Times New Roman"/>
          <w:sz w:val="24"/>
          <w:szCs w:val="24"/>
          <w:lang w:val="en-US"/>
        </w:rPr>
        <w:t xml:space="preserve"> i privez</w:t>
      </w:r>
      <w:r w:rsidR="00120D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20D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20D48" w:rsidRPr="00120D48">
        <w:rPr>
          <w:rFonts w:ascii="Times New Roman" w:eastAsia="Calibri" w:hAnsi="Times New Roman" w:cs="Times New Roman"/>
          <w:bCs/>
          <w:sz w:val="24"/>
          <w:szCs w:val="24"/>
        </w:rPr>
        <w:t>plovnih objekata.</w:t>
      </w:r>
    </w:p>
    <w:p w:rsidR="00120D48" w:rsidRPr="00120D48" w:rsidRDefault="00120D48" w:rsidP="00120D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0D48">
        <w:rPr>
          <w:rFonts w:ascii="Times New Roman" w:eastAsia="Calibri" w:hAnsi="Times New Roman" w:cs="Times New Roman"/>
          <w:bCs/>
          <w:sz w:val="24"/>
          <w:szCs w:val="24"/>
        </w:rPr>
        <w:t xml:space="preserve">Lokacija označena </w:t>
      </w:r>
      <w:r w:rsidRPr="00120D48">
        <w:rPr>
          <w:rFonts w:ascii="Times New Roman" w:hAnsi="Times New Roman" w:cs="Times New Roman"/>
          <w:b/>
          <w:sz w:val="24"/>
          <w:szCs w:val="24"/>
          <w:lang w:val="en-US"/>
        </w:rPr>
        <w:t>4.38</w:t>
      </w:r>
      <w:r w:rsidRPr="00120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20D48">
        <w:rPr>
          <w:rFonts w:ascii="Times New Roman" w:hAnsi="Times New Roman" w:cs="Times New Roman"/>
          <w:sz w:val="24"/>
          <w:szCs w:val="24"/>
          <w:lang w:val="en-US"/>
        </w:rPr>
        <w:t>u Izmjenama i dopunama</w:t>
      </w:r>
      <w:r w:rsidRPr="00120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20D48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120D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20D48">
        <w:rPr>
          <w:rFonts w:ascii="Times New Roman" w:hAnsi="Times New Roman" w:cs="Times New Roman"/>
          <w:sz w:val="24"/>
          <w:szCs w:val="24"/>
          <w:lang w:val="en-US"/>
        </w:rPr>
        <w:t xml:space="preserve"> privremenih objekata 2019.-2023. </w:t>
      </w:r>
      <w:r w:rsidRPr="00120D48">
        <w:rPr>
          <w:rFonts w:ascii="Times New Roman" w:hAnsi="Times New Roman" w:cs="Times New Roman"/>
          <w:sz w:val="24"/>
          <w:szCs w:val="24"/>
          <w:lang w:val="en-US"/>
        </w:rPr>
        <w:t>Za opštinu Budva.</w:t>
      </w:r>
    </w:p>
    <w:p w:rsidR="00120D48" w:rsidRPr="00120D48" w:rsidRDefault="00120D48" w:rsidP="00120D4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0D48">
        <w:rPr>
          <w:rFonts w:ascii="Times New Roman" w:eastAsia="Calibri" w:hAnsi="Times New Roman" w:cs="Times New Roman"/>
          <w:bCs/>
          <w:sz w:val="24"/>
          <w:szCs w:val="24"/>
        </w:rPr>
        <w:t xml:space="preserve">NAMJENA: </w:t>
      </w:r>
      <w:r w:rsidRPr="00120D48">
        <w:rPr>
          <w:rFonts w:ascii="Times New Roman" w:hAnsi="Times New Roman" w:cs="Times New Roman"/>
          <w:sz w:val="24"/>
          <w:szCs w:val="24"/>
          <w:lang w:val="en-US"/>
        </w:rPr>
        <w:t>platforma</w:t>
      </w:r>
      <w:r w:rsidRPr="00120D48">
        <w:rPr>
          <w:rFonts w:ascii="Times New Roman" w:hAnsi="Times New Roman" w:cs="Times New Roman"/>
          <w:sz w:val="24"/>
          <w:szCs w:val="24"/>
          <w:lang w:val="en-US"/>
        </w:rPr>
        <w:t xml:space="preserve"> za pristajanje i privez</w:t>
      </w:r>
      <w:r w:rsidRPr="00120D48">
        <w:rPr>
          <w:rFonts w:ascii="Times New Roman" w:eastAsia="Calibri" w:hAnsi="Times New Roman" w:cs="Times New Roman"/>
          <w:bCs/>
          <w:sz w:val="24"/>
          <w:szCs w:val="24"/>
        </w:rPr>
        <w:t xml:space="preserve"> plovnih objekata.</w:t>
      </w:r>
    </w:p>
    <w:p w:rsidR="00120D48" w:rsidRPr="00120D48" w:rsidRDefault="00120D48" w:rsidP="00120D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0D48">
        <w:rPr>
          <w:rFonts w:ascii="Times New Roman" w:hAnsi="Times New Roman" w:cs="Times New Roman"/>
          <w:sz w:val="24"/>
          <w:szCs w:val="24"/>
          <w:lang w:val="en-US"/>
        </w:rPr>
        <w:t xml:space="preserve">POČETNA CIJENA ZAKUPA: </w:t>
      </w:r>
      <w:r w:rsidRPr="00120D48">
        <w:rPr>
          <w:rFonts w:ascii="Times New Roman" w:hAnsi="Times New Roman" w:cs="Times New Roman"/>
          <w:b/>
          <w:sz w:val="24"/>
          <w:szCs w:val="24"/>
          <w:lang w:val="en-US"/>
        </w:rPr>
        <w:t>1.525,00 EURA</w:t>
      </w:r>
    </w:p>
    <w:p w:rsidR="00120D48" w:rsidRPr="00120D48" w:rsidRDefault="00120D48" w:rsidP="00120D4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20D48">
        <w:rPr>
          <w:rFonts w:ascii="Times New Roman" w:hAnsi="Times New Roman" w:cs="Times New Roman"/>
          <w:i/>
          <w:sz w:val="24"/>
          <w:szCs w:val="24"/>
          <w:lang w:val="en-US"/>
        </w:rPr>
        <w:t>Za stavljanje u funkciju plutajućeg privremenog objekta potrebno je dobiti saglasnost Lučke kapetanije Bar.</w:t>
      </w:r>
    </w:p>
    <w:p w:rsidR="00120D48" w:rsidRDefault="00120D48" w:rsidP="002950AE">
      <w:pPr>
        <w:tabs>
          <w:tab w:val="center" w:pos="4559"/>
          <w:tab w:val="left" w:pos="5550"/>
        </w:tabs>
        <w:autoSpaceDE w:val="0"/>
        <w:autoSpaceDN w:val="0"/>
        <w:adjustRightInd w:val="0"/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tabs>
          <w:tab w:val="center" w:pos="4559"/>
          <w:tab w:val="left" w:pos="5550"/>
        </w:tabs>
        <w:autoSpaceDE w:val="0"/>
        <w:autoSpaceDN w:val="0"/>
        <w:adjustRightInd w:val="0"/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ab/>
      </w:r>
    </w:p>
    <w:p w:rsidR="002950AE" w:rsidRPr="002950AE" w:rsidRDefault="002950AE" w:rsidP="002950A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Minimalne cijene zakupa date su bez uračunatog PDV-A.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II Način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Davanje u zakup vrši se putem javnog nadmetanja (aukcije).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III Početna cijena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3.1 Lokacije se daju  u zakup u viđenom stanju.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Lokacije se daju u zakup bez postavljenih objekata i infrastrukturne opremljenosti.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3.2. Naknada za korišćenje/zakupnina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Početna cijena zakupa, odnosno zakupnina/naknada za korišćenje morskog dobra se uvećava  za iznos PDV-a.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Početna cijena za svaku lokaciju obračunava se na godišnjem/sezonskom nivou saglasno Cjenovniku početnih naknada iz 2019. god. koji je utvrdilo Javno preduzeće za upravljanje morskim dobrom.  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Početna cijena se odnosi na kalendarsku godinu bez obzira kada je ugovor zaključen.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Zakupnina/naknada za korišćenje morskog dobra  plaća se u cjelini u momentu zaključenja ugovora ili u najviše tri rate, od kojih prva rata dospijeva u momentu zaključenja ugovora. uz obavezu izabranog ponuđača da u momentu zaključenja ugovora dostavi Javnom preduzeću orginalnu, bezuslovnu i naplativu na prvi poziv bankarsku garanciju za plaćanje preostalog iznosa zakupnine, koji je uvećan za iznos  PDV-a.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3.3 Vrijeme zakupa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lastRenderedPageBreak/>
        <w:t xml:space="preserve"> Ugovori se zaključuju za tekuću godinu računajući od dana zaključenja ugovora do 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 xml:space="preserve">31.12.2020. god.  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uz mogućnost godišnjeg produženja za period od 3 ( tri ) godine, odnosno do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31.12.2023.god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pod </w:t>
      </w:r>
      <w:r w:rsidRPr="002950AE">
        <w:rPr>
          <w:rFonts w:ascii="Times New Roman" w:eastAsia="Calibri" w:hAnsi="Times New Roman" w:cs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IV Uslovi za ponuđača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2950A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4.1</w:t>
      </w:r>
      <w:r w:rsidRPr="002950AE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2950AE">
        <w:rPr>
          <w:rFonts w:ascii="Times New Roman" w:eastAsia="Times New Roman" w:hAnsi="Times New Roman" w:cs="Times New Roman"/>
          <w:sz w:val="24"/>
          <w:szCs w:val="24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2950AE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Tražene uslove  Ponuđač</w:t>
      </w:r>
      <w:r w:rsidRPr="002950AE"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  <w:t xml:space="preserve"> </w:t>
      </w:r>
      <w:r w:rsidRPr="002950AE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IZMJENE I DOPUNE KRITERIJUMA</w:t>
      </w:r>
    </w:p>
    <w:p w:rsidR="002950AE" w:rsidRPr="002950AE" w:rsidRDefault="002950AE" w:rsidP="002950AE">
      <w:pPr>
        <w:autoSpaceDE w:val="0"/>
        <w:autoSpaceDN w:val="0"/>
        <w:spacing w:after="24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za određivanje visine naknada 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 i vez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ivanje plovila u lukama od lokalnog značaja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 na ostalim objektima obalne infrastrukture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    I    PRISTAJANJE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 odobravanja iznosa naknade (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čl. 9, tačka 10 i čl.12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) Zakona o lukama - Sl. list Crne Gore, 51/8; 40/11; 27/13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za usluge pristajanja plovila u lukama od lokalnog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riterijume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Nivo opremljenosti operativne obale – pristaništa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b)    Dužina i/ili kapacitet plovila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Namjena - karakter plovila i vrsta saobraćaja kojeg obavlja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 ili kapacitet plovila s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e odnosi na korišćeni prostor odnosno dio operativne obale / pristaništa, koji se koristi kod pristajanja plovila a zavisi od dužine i nosivosti plovila.       Namjena ili karakter plovila se odnosi na vrstu saobraćaja kojeg obavlja plovilo  -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namjena za koju je registrovano plovilo.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  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Visina naknade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1)           Za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čamc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 do 7 m¹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koji su registrovani za sport i rekreaciju i za plovne objekte registrovane za obavljanje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malog privrednog ribolova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ne naplaćuje se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naknada za pristajanje u lukama od lokaln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og značaja, na pristaništima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ostalim objektima pomorske/ obalne infrastrukture.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lastRenderedPageBreak/>
        <w:t>2)           Za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čam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ce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registrovane za javni prevoz putnika (obavljanje privredne djelatnosti prevoza putnika), u teritorijalnim vodama Crne Gore,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 visina naknade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 pristajanje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u lukama od lokalnog značaja, na pristaništima i ostalim objektima pomorske/ obalne infrastrukture u iznosu od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0,50 €/m¹ - za plovila dužine do 10 m¹. a za plovila dužine preko 10 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 za svaki naredni m¹, 0,40 €/m¹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3)           Za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plovne objekte registrovane za obavljanje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velikog privrednog ribolova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, utvrđuje se maksimalna visina naknade za pristajanje u lukama od lokalnog značaja, na pristaništima i ostalim objektima pomorske/ obaln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infrastrukture u iznosu od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0,40 €/m¹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za plovila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10 m¹,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a za plovila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 10 m¹,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svaki naredni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m¹, 0,30 €/m¹.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4)</w:t>
      </w:r>
      <w:r w:rsidRPr="002950AE"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 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plovila na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solarni pogon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prevoz putnika-katamarani na solarni pogon u teritorijalnim vodama Crne Gore utvrđuje se u iznosu od 0,30€/m¹ za plovila dužine do 10m¹, a za plovila dužine preko 10m¹- 0,20€/m¹.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5)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           Za pristajanje svih ostalih plovila, naknada se određuje u skladu sa tržišnim principima poslovanja koncesionara, zakupca – operatera luk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/ pristaništa i sl.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Prilikom odobravanja iznosa naknade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čl. 9, tačka 10) Zakona o lukama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(Sl.list CG, 51/8; 40/11; 27/13)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, za usluge veza plovila u lukama od lokalnog značaja i na ostalim objektima obalne infrastrukture, Javno preduzeće za upravljanje morskim dobrom Crne Gore, primjenjivaće sledeće :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Kriterijume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Namjena - karakter (vrsta) plovila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Dužina / kapacitet plovila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Kategorija objekta obalne infrastrukture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d) Opremljenost objekta i nivo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organizacije servisa u luci od lokalnog značaja, privezištu i drugim objektima obalne infrastrukture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Sigurnost i bezbijednost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f) Dostupnost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Namjena - karakter (vrsta) plovila, se odnosi na vrstu saobraćaja za koju je plovilo registrovano.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 ili kapacitet plovila, se odnosi na prostor i servise koje plovilo koristi u luci, privezištu i sl., na vezu.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Kategorija objekta, se odnosi na vrstu prihvatnog objekta tj.luka od lokalnog značaja ili ostalih objekata obalne infrastrukture.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 objekta i nivo organizacije servisa, podrazumijeva sadržaje i nivo kvaliteta usluga koji su na raspolaganju korisniku u luci / objektu obalne infrastrukture.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Sigurnost i bezbijednost se odnose na obezbijeđenu tehničku pouzdanost i bezbjednost veza.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Dostupnost se odnosi na položaj luke od lokalnog značaja / objekta obalne infrastrukture,  u naselju i širem prostoru i povezanost sa saobraćajnom infrastrukturom na kopnu.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 naknade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 za plovila registrovana za sport i rekreaciju</w:t>
      </w:r>
    </w:p>
    <w:p w:rsidR="002950AE" w:rsidRPr="002950AE" w:rsidRDefault="002950AE" w:rsidP="002950AE">
      <w:pPr>
        <w:numPr>
          <w:ilvl w:val="0"/>
          <w:numId w:val="9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400 eura godišnje.</w:t>
      </w:r>
    </w:p>
    <w:p w:rsidR="002950AE" w:rsidRPr="002950AE" w:rsidRDefault="002950AE" w:rsidP="002950AE">
      <w:pPr>
        <w:numPr>
          <w:ilvl w:val="1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ce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5m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rekeaciju, i koriste komunalni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vez, utvrdjuje se maksimalna visina naknade za vez u lukama od lokalnog značaja i na ostalim objektima obalne infrastrukture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 250 eura godišnje.</w:t>
      </w:r>
    </w:p>
    <w:p w:rsidR="002950AE" w:rsidRPr="002950AE" w:rsidRDefault="002950AE" w:rsidP="002950AE">
      <w:pPr>
        <w:numPr>
          <w:ilvl w:val="1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ce dužine do 7m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odnosno do 5m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izrađen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 od drveta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 koji posjeduju zbirku isprava i registrovani su za sport i rekreaciju, i koriste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komunalni vez, utvrdjuje se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lastRenderedPageBreak/>
        <w:t xml:space="preserve">maksimalna visina naknade za vez u lukama od lokalnog značaja i na ostalim objektima obalne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infrastrukture,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u iznosu 50%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odnosu na vrijednosti utv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rđene u tački 1) i podtački a) ovog poglavlja.</w:t>
      </w:r>
    </w:p>
    <w:p w:rsidR="002950AE" w:rsidRPr="002950AE" w:rsidRDefault="002950AE" w:rsidP="002950AE">
      <w:pPr>
        <w:numPr>
          <w:ilvl w:val="0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brodice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600 eura godišnje.</w:t>
      </w:r>
    </w:p>
    <w:p w:rsidR="002950AE" w:rsidRPr="002950AE" w:rsidRDefault="002950AE" w:rsidP="002950AE">
      <w:pPr>
        <w:numPr>
          <w:ilvl w:val="0"/>
          <w:numId w:val="10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 plovila dužine preko 12m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a do 15BT, koja posjeduju zbirku isprava i registrovani su za sport i rekreaciju i koriste komunalni vez, utvrđuje se maksimalna visina naknade za vez u lukama od lokalnog značaja i na ostalim objektima obalne infrastrukture do 800 eura godišnje.”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 za plovila registerovana za obavljanje privredne djelatnosti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600 eura godišnje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480 eura godišnje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mali privredni ribolov.</w:t>
      </w:r>
    </w:p>
    <w:p w:rsidR="002950AE" w:rsidRPr="002950AE" w:rsidRDefault="002950AE" w:rsidP="002950AE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brodice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7 - 12m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koja je su registrovana za obavljanje privredne djelatnosti (prevoz putnika ili ribarenje)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1200 eura godišnje,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brodice registrovane 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 putnika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1000 eura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 za brodice registrovane 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mali privredni ribolov. </w:t>
      </w:r>
    </w:p>
    <w:p w:rsidR="002950AE" w:rsidRPr="002950AE" w:rsidRDefault="002950AE" w:rsidP="002950AE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 objekte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preko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2950AE" w:rsidRPr="002950AE" w:rsidRDefault="002950AE" w:rsidP="002950AE">
      <w:pPr>
        <w:numPr>
          <w:ilvl w:val="0"/>
          <w:numId w:val="8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katamarane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i/ili plovila na solarni pogon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cijena uvećava za 50% u odnosu na ostala plovila iste dužine.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POJEDINAČNI VEZ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Pojedinačni vez za plovila registrovana za sport i rekreaciju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numPr>
          <w:ilvl w:val="0"/>
          <w:numId w:val="3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200 eura godišnje.</w:t>
      </w:r>
    </w:p>
    <w:p w:rsidR="002950AE" w:rsidRPr="002950AE" w:rsidRDefault="002950AE" w:rsidP="002950AE">
      <w:pPr>
        <w:numPr>
          <w:ilvl w:val="0"/>
          <w:numId w:val="3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brodice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350 eura godišnje.</w:t>
      </w:r>
    </w:p>
    <w:p w:rsidR="002950AE" w:rsidRPr="002950AE" w:rsidRDefault="002950AE" w:rsidP="002950AE">
      <w:pPr>
        <w:numPr>
          <w:ilvl w:val="0"/>
          <w:numId w:val="3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 dužine preko 12m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 koja posjeduju zbirku isprava i registrovani su za sport i rekreaciju i koriste komunalni vez, utvrđuje se maksimalna visina naknade za vez u lukama od lokalnog značaja i na ostalim objektima obalne infrastrukture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do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350 eura godišnje plus 150 eura za svaki 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 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Pojedinačni vez za plovila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registerovana za obavljanje privredne djelatnosti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numPr>
          <w:ilvl w:val="0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 xml:space="preserve">Za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220 eura godišnje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za čamce registrovane za mali privredni ribolov.</w:t>
      </w:r>
    </w:p>
    <w:p w:rsidR="002950AE" w:rsidRPr="002950AE" w:rsidRDefault="002950AE" w:rsidP="002950AE">
      <w:pPr>
        <w:numPr>
          <w:ilvl w:val="0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Za brodice dužine </w:t>
      </w: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od</w:t>
      </w: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7 - 12m</w:t>
      </w:r>
      <w:r w:rsidRPr="002950A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koja je su registrovana za obavljanje privredne djelatnosti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(prevoz putnika ili ribarenje)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rukture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370 eura godišnje,</w:t>
      </w:r>
      <w:r w:rsidRPr="002950AE"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brodice registrovane 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prevoz putnika i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brodice registrovane 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mali privredni ribolov. </w:t>
      </w:r>
    </w:p>
    <w:p w:rsidR="002950AE" w:rsidRPr="002950AE" w:rsidRDefault="002950AE" w:rsidP="002950AE">
      <w:pPr>
        <w:numPr>
          <w:ilvl w:val="0"/>
          <w:numId w:val="4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 objekte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preko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370 eura godišnje plus 20 eura za svaki m1 preko 12 m1.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SIDRENJE</w:t>
      </w: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 plovila registrovana za sport i rekreaciju</w:t>
      </w:r>
    </w:p>
    <w:p w:rsidR="002950AE" w:rsidRPr="002950AE" w:rsidRDefault="002950AE" w:rsidP="002950AE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 dužine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7m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koji posjeduju zbirku isprava i registrovani su za sport i rekreaciju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 150 eura godišnje.</w:t>
      </w:r>
    </w:p>
    <w:p w:rsidR="002950AE" w:rsidRPr="002950AE" w:rsidRDefault="002950AE" w:rsidP="002950AE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 dužine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od 7-12m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koje posjeduju zbirku isprava i registrovani su za sport i rekreaciju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 300 eura godišnje.</w:t>
      </w:r>
    </w:p>
    <w:p w:rsidR="002950AE" w:rsidRPr="002950AE" w:rsidRDefault="002950AE" w:rsidP="002950AE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 dužine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koja posjeduju zbirku isprava i registrovani su za sport i rekreaciju i koriste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utvrđuje se maksimalna visina naknade za sidrenje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300 eura godišnje plus 10 eura za svaki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preko 12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 plovila registerovana za obavljanje privredne djelatnosti</w:t>
      </w:r>
    </w:p>
    <w:p w:rsidR="002950AE" w:rsidRPr="002950AE" w:rsidRDefault="002950AE" w:rsidP="002950AE">
      <w:pPr>
        <w:numPr>
          <w:ilvl w:val="0"/>
          <w:numId w:val="6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plovila</w:t>
      </w: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do 12m</w:t>
      </w: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koja je su registrovana za obavljanje</w:t>
      </w: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privredne djelatnosti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(prevoz putnika ili mali privredni ribolov)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 koriste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komunalni vez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do 400 eura godišnje. </w:t>
      </w:r>
    </w:p>
    <w:p w:rsidR="002950AE" w:rsidRPr="002950AE" w:rsidRDefault="002950AE" w:rsidP="002950AE">
      <w:pPr>
        <w:numPr>
          <w:ilvl w:val="0"/>
          <w:numId w:val="6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plovne objekte dužine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 su registrovani za obavljanje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privredne djelatnosti (prevoz putnika ili veliki privredni ribolov)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 koriste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komunalni vez,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do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400 eura godišnje plus 10 eura za svaki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preko 12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USLUGA UPOTREBE DIZALICE/NAVOZA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numPr>
          <w:ilvl w:val="0"/>
          <w:numId w:val="7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 dužine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7m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 vršenju operacije (spuštanje/izvlačenje plovila) u iznosu od 5 eura po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:rsidR="002950AE" w:rsidRPr="002950AE" w:rsidRDefault="002950AE" w:rsidP="002950AE">
      <w:pPr>
        <w:numPr>
          <w:ilvl w:val="0"/>
          <w:numId w:val="7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brodice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od 7m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-12m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 vršenju operacije (spuštanje/izvlačenje plovila) u iznosu od 7 eura po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:rsidR="002950AE" w:rsidRPr="002950AE" w:rsidRDefault="002950AE" w:rsidP="002950AE">
      <w:pPr>
        <w:numPr>
          <w:ilvl w:val="0"/>
          <w:numId w:val="7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plovila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 vršenju operacije (spuštanje/izvlačenje plovila) u iznosu od 10 eura po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:rsidR="002950AE" w:rsidRPr="002950AE" w:rsidRDefault="002950AE" w:rsidP="002950AE">
      <w:pPr>
        <w:numPr>
          <w:ilvl w:val="0"/>
          <w:numId w:val="7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korišćenje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navoza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određuje se maksimalna visina naknade po vršenju operacije (spuštanje/izvlačenje plovila) umanjena za 20% u odnosu na korišćenje dizalice, izraženo kroz tačke 1), 2) i 3) po m</w:t>
      </w:r>
      <w:r w:rsidRPr="002950AE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  <w:lastRenderedPageBreak/>
        <w:t xml:space="preserve">     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bookmarkStart w:id="1" w:name="_Hlk957963"/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Imajući u vidu Kriterijume razrađene kroz poglavlja I, II, III i IV visina naknade </w:t>
      </w:r>
      <w:bookmarkEnd w:id="1"/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 ostala plovila, visina nakn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ade za korišćenje veza u lukama od lokalnog značaja, privezištima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drugim objektima obalne infrastrukture,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uređenim i opremljenim sidrištima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označenim a neuređenim sidrištima,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 se 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u skladu sa tržišnim principima poslovanja koncesionara, zakupca – operatera.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 plovnog objekta čiji plovni objekat nije upisan u crnogorski registar plovila u mjesno nadležnoj Lučkoj kapetaniji-ispostavi, ne može biti korisnik komunalnog veza. Takođe, vlasnik plovnog objekta mora imati prebivalište najmanje 10 godina na području opštine u kojoj želi da ostvari pravo na komunalni vez.</w:t>
      </w: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:rsidR="002950AE" w:rsidRPr="002950AE" w:rsidRDefault="002950AE" w:rsidP="002950AE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Izabrani ponuđač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je dužan: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- pridržavati se navedenih Izmjena i dopuna Kriterijuma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 i vez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na ostalim objektima obalne infrastrukture 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koji su usvojeni od strane Upravnog odbora Javnog preduzeća broj:0203-638/6-1 od  15.02.2019.godine, </w:t>
      </w:r>
    </w:p>
    <w:p w:rsidR="002950AE" w:rsidRPr="002950AE" w:rsidRDefault="002950AE" w:rsidP="002950AE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- pridržavati se Uslova za opremanje i održavanje reda na pristaništu/privezištu koje izdaje Javno preduzeće za upravljanje morskim dobrom, </w:t>
      </w:r>
    </w:p>
    <w:p w:rsidR="002950AE" w:rsidRPr="002950AE" w:rsidRDefault="002950AE" w:rsidP="002950A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Cjenovnik usluga koji će odobriti Javno preduzeće za upravljanje  morskim dobrom na osnovu Izmjena i dopuna kriterijuma 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 i vez</w:t>
      </w: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r w:rsidRPr="002950AE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 na ostalim objektima obalne infrastrukture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</w:t>
      </w:r>
      <w:r w:rsidRPr="002950AE">
        <w:rPr>
          <w:rFonts w:ascii="Times New Roman" w:eastAsia="Calibri" w:hAnsi="Times New Roman" w:cs="Times New Roman"/>
          <w:sz w:val="24"/>
          <w:szCs w:val="24"/>
        </w:rPr>
        <w:t> 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Sadržaj prijave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6.1. Prijava obavezno sadrži: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Podatke o ponuđaču i dokaze o podobnosti ponuđača: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6.1.1.Za fizička lica: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Obrazac A Javnog preduzeća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- fotokopija lične karte/pasoša sa jedinstvenim matičnim brojem, 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-p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otvrda Poreske uprave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da su uredno izvr</w:t>
      </w:r>
      <w:r w:rsidRPr="002950AE">
        <w:rPr>
          <w:rFonts w:ascii="Times New Roman" w:eastAsia="Calibri" w:hAnsi="Times New Roman" w:cs="Times New Roman"/>
          <w:sz w:val="24"/>
          <w:szCs w:val="24"/>
        </w:rPr>
        <w:t>š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ene sve obaveze po osnovu pla</w:t>
      </w:r>
      <w:r w:rsidRPr="002950AE">
        <w:rPr>
          <w:rFonts w:ascii="Times New Roman" w:eastAsia="Calibri" w:hAnsi="Times New Roman" w:cs="Times New Roman"/>
          <w:sz w:val="24"/>
          <w:szCs w:val="24"/>
        </w:rPr>
        <w:t>ć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anja poreza i doprinosa za period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Pr="002950AE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uvjerenje mjesno nadležnog Osnovnog suda da  se protiv ponuđača ne vodi krivični postupak,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6.1.2. Za privredna društva, pravna lica ili preduzetnike</w:t>
      </w:r>
      <w:r w:rsidRPr="002950A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-Naziv  i adresu sjedišta, Izjavu o prihvatanju svih uslova i obaveza iz Javnog poziva, kao i izjavu-saglasnost da se lični podaci obrađuju u postupku, odnosno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Obrazac A Javnog preduzeća;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-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2950AE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sa podacima o ovlašćenim licima ponuđača </w:t>
      </w:r>
      <w:r w:rsidRPr="002950AE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2950AE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6 </w:t>
      </w:r>
      <w:r w:rsidRPr="002950AE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Pr="002950AE">
        <w:rPr>
          <w:rFonts w:ascii="Times New Roman" w:eastAsia="Calibri" w:hAnsi="Times New Roman" w:cs="Times New Roman"/>
          <w:sz w:val="24"/>
          <w:szCs w:val="24"/>
          <w:lang w:eastAsia="hi-IN"/>
        </w:rPr>
        <w:t>),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-rješenje o PIB pravnog lica/preduzetnika, 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- uvjerenje mjesno nadležnog Osnovnog suda da  se protiv 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2950AE">
        <w:rPr>
          <w:rFonts w:ascii="Times New Roman" w:eastAsia="Calibri" w:hAnsi="Times New Roman" w:cs="Times New Roman"/>
          <w:sz w:val="24"/>
          <w:szCs w:val="24"/>
        </w:rPr>
        <w:t>i odgovornog lica u pravnom licu ne vodi krivični postupak,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- u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kaznenoj  evidenciji </w:t>
      </w:r>
      <w:r w:rsidRPr="002950AE">
        <w:rPr>
          <w:rFonts w:ascii="Times New Roman" w:eastAsia="Calibri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- u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u kaznenoj </w:t>
      </w:r>
      <w:r w:rsidRPr="002950AE">
        <w:rPr>
          <w:rFonts w:ascii="Times New Roman" w:eastAsia="Calibri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-p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otvrda Poreske uprave da su uredno izvr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ene sve obaveze po osnovu pla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>anja poreza i doprinosa za period do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90 </w:t>
      </w:r>
      <w:r w:rsidRPr="002950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2950AE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Pr="002950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6.2.</w:t>
      </w:r>
      <w:r w:rsidRPr="002950AE">
        <w:rPr>
          <w:rFonts w:ascii="Times New Roman" w:eastAsia="Calibri" w:hAnsi="Times New Roman" w:cs="Times New Roman"/>
          <w:sz w:val="24"/>
          <w:szCs w:val="24"/>
        </w:rPr>
        <w:t> 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Originalnu bankarsku garanciju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2950AE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2950AE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2950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6.3. 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6.4. Ponude se dostavljaju na Crnogorskom jeziku.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6.5.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Potrebni dokazi (osim fotokopije lične karte) dostavljaju se u formi originala ili ovjerene fotokopije. Dokazi ne smiju da budu stariji od šest mjeseci od dana sprovođenja aukcije, osim Rješenja o registraciji PDV-a i druga odobrenja nadležnih organa u zavisnosti od perioda važenja.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VII Sprovođenje postupka: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Ponuđač sačinjava i podnosi prijavu  u skladu sa Javnim pozivom.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Rok važenja prijava je 90 dana od dana </w:t>
      </w:r>
      <w:r w:rsidRPr="002950AE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2950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Ponuđač može u roku za dostavljanje prijava, da istu mijenja i dopunjava ili da u pisanoj formi odustane od prijave.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Promjena i dopuna prijave  ili odustajanje od prijave ponuđač dostavlja na isti način kao i prijavu.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U slučaju odustanka od prijave prije isteka roka određenog za dostavljanje prijave/odnosno otvaranja prijave  ista se vraća ponuđaču neotvorena.</w:t>
      </w: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7.3. Prijava se dostavlja u roku određenom Javnim pozivom u zatvorenim kovertama </w:t>
      </w:r>
      <w:r w:rsidRPr="002950AE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predajom na arhivi Javnog  preduzeća.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Prijave koje su primljene nakon isteka Javnim pozivom određenog roka odbijaju se kao neblagovremene i vraćaju se neotvorene ponuđaču, konačnom odlukom.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lastRenderedPageBreak/>
        <w:t>Prijave  fizičkih ili pravnih lica (ranijih korisnika) se odbijaju kao neprihvatljive i neće biti predmet vrednovanja, ukoliko je: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-protiv ponuđača (ranijeg korisnika)  Javno preduzeće pokrenulo sudski postupak zbog neispunjavanja ugovorenih obaveza,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-sa ponuđačem (ranijim korisnikom) Javno preduzeće raskinulo  ugovor zbog teže povrede ugovorne obaveze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7.4.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Postupak davanja u zakup sprovode Tenderske komisije koje imenuje Direktor Javnog preduzeća.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Tenderska komisija u postupku javnog nadmetanja</w:t>
      </w:r>
      <w:r w:rsidRPr="002950AE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>7.5.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 Nezatvorene (neuredne) prijave  odbijaju se kao nevažeće i u stanju u kojem su uručene biće vraćene ponuđaču, nakon okončanja postupka .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Neispravna je ponuda koja nije sačinjena u skladu sa uslovima Javnog poziva. 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VIII Način, vrijeme i mjesto podnošenja prijava </w:t>
      </w: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:rsidR="002950AE" w:rsidRPr="002950AE" w:rsidRDefault="002950AE" w:rsidP="002950AE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dostavlja i na koju se odnosi prijava.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Prijave </w:t>
      </w:r>
      <w:r w:rsidRPr="001C69F1">
        <w:rPr>
          <w:rFonts w:ascii="Times New Roman" w:eastAsia="Calibri" w:hAnsi="Times New Roman" w:cs="Times New Roman"/>
          <w:b/>
          <w:sz w:val="24"/>
          <w:szCs w:val="24"/>
          <w:lang w:val="sl-SI"/>
        </w:rPr>
        <w:t>za javno nadmetanje (aukciju) dostavljaju se postom ili neposrednom predajom na arhivi Javnog  preduzeća s</w:t>
      </w:r>
      <w:r w:rsidR="00120D48">
        <w:rPr>
          <w:rFonts w:ascii="Times New Roman" w:eastAsia="Calibri" w:hAnsi="Times New Roman" w:cs="Times New Roman"/>
          <w:b/>
          <w:sz w:val="24"/>
          <w:szCs w:val="24"/>
          <w:lang w:val="sl-SI"/>
        </w:rPr>
        <w:t>vakog radnog dana od 08.30 do 16</w:t>
      </w:r>
      <w:r w:rsidRPr="001C69F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.00 casova od dana objavljivanja ovog poziva,  (izuzev od 11.30 do 12.00h) u zapečaćenim kovertama sa naznakom „PRIJAVA ZA JAVNO NADMETANJE PO POZIVU BROJ ____, RED.BR.____ U OPŠTINI ______“, najkasnije </w:t>
      </w:r>
      <w:r w:rsidR="001C69F1" w:rsidRPr="001C69F1">
        <w:rPr>
          <w:rFonts w:ascii="Times New Roman" w:eastAsia="Calibri" w:hAnsi="Times New Roman" w:cs="Times New Roman"/>
          <w:b/>
          <w:sz w:val="24"/>
          <w:szCs w:val="24"/>
        </w:rPr>
        <w:t>do 17.06</w:t>
      </w:r>
      <w:r w:rsidRPr="001C69F1">
        <w:rPr>
          <w:rFonts w:ascii="Times New Roman" w:eastAsia="Calibri" w:hAnsi="Times New Roman" w:cs="Times New Roman"/>
          <w:b/>
          <w:sz w:val="24"/>
          <w:szCs w:val="24"/>
        </w:rPr>
        <w:t>.2020.</w:t>
      </w:r>
      <w:r w:rsidRPr="001C69F1">
        <w:rPr>
          <w:rFonts w:ascii="Times New Roman" w:eastAsia="Calibri" w:hAnsi="Times New Roman" w:cs="Times New Roman"/>
          <w:b/>
          <w:sz w:val="24"/>
          <w:szCs w:val="24"/>
          <w:lang w:val="pl-PL"/>
        </w:rPr>
        <w:t>god</w:t>
      </w:r>
      <w:r w:rsidRPr="001C69F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C69F1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="001C69F1" w:rsidRPr="001C69F1">
        <w:rPr>
          <w:rFonts w:ascii="Times New Roman" w:eastAsia="Calibri" w:hAnsi="Times New Roman" w:cs="Times New Roman"/>
          <w:b/>
          <w:sz w:val="24"/>
          <w:szCs w:val="24"/>
        </w:rPr>
        <w:t xml:space="preserve"> 16</w:t>
      </w:r>
      <w:r w:rsidRPr="001C69F1">
        <w:rPr>
          <w:rFonts w:ascii="Times New Roman" w:eastAsia="Calibri" w:hAnsi="Times New Roman" w:cs="Times New Roman"/>
          <w:b/>
          <w:sz w:val="24"/>
          <w:szCs w:val="24"/>
        </w:rPr>
        <w:t>.00 č</w:t>
      </w:r>
      <w:r w:rsidRPr="001C69F1">
        <w:rPr>
          <w:rFonts w:ascii="Times New Roman" w:eastAsia="Calibri" w:hAnsi="Times New Roman" w:cs="Times New Roman"/>
          <w:b/>
          <w:sz w:val="24"/>
          <w:szCs w:val="24"/>
          <w:lang w:val="pl-PL"/>
        </w:rPr>
        <w:t>a</w:t>
      </w:r>
      <w:bookmarkStart w:id="2" w:name="_GoBack"/>
      <w:bookmarkEnd w:id="2"/>
      <w:r w:rsidRPr="001C69F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sova, </w:t>
      </w:r>
      <w:r w:rsidRPr="00120D48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 kada moraju biti dostavljene i ponude koje su upućene poštom z</w:t>
      </w:r>
      <w:r w:rsidRPr="00120D48">
        <w:rPr>
          <w:rFonts w:ascii="Times New Roman" w:eastAsia="Calibri" w:hAnsi="Times New Roman" w:cs="Times New Roman"/>
          <w:b/>
          <w:sz w:val="24"/>
          <w:szCs w:val="24"/>
        </w:rPr>
        <w:t xml:space="preserve">a lokacije </w:t>
      </w:r>
      <w:r w:rsidR="001C69F1" w:rsidRPr="00120D48">
        <w:rPr>
          <w:rFonts w:ascii="Times New Roman" w:eastAsia="Calibri" w:hAnsi="Times New Roman" w:cs="Times New Roman"/>
          <w:b/>
          <w:sz w:val="24"/>
          <w:szCs w:val="24"/>
        </w:rPr>
        <w:t>u opštini Herceg Novi, Kotor ,</w:t>
      </w:r>
      <w:r w:rsidRPr="00120D48">
        <w:rPr>
          <w:rFonts w:ascii="Times New Roman" w:eastAsia="Calibri" w:hAnsi="Times New Roman" w:cs="Times New Roman"/>
          <w:b/>
          <w:sz w:val="24"/>
          <w:szCs w:val="24"/>
        </w:rPr>
        <w:t xml:space="preserve">Tivat </w:t>
      </w:r>
      <w:r w:rsidR="001C69F1" w:rsidRPr="00120D48">
        <w:rPr>
          <w:rFonts w:ascii="Times New Roman" w:eastAsia="Calibri" w:hAnsi="Times New Roman" w:cs="Times New Roman"/>
          <w:b/>
          <w:sz w:val="24"/>
          <w:szCs w:val="24"/>
        </w:rPr>
        <w:t xml:space="preserve">i Budva </w:t>
      </w:r>
      <w:r w:rsidRPr="00120D48">
        <w:rPr>
          <w:rFonts w:ascii="Times New Roman" w:eastAsia="Calibri" w:hAnsi="Times New Roman" w:cs="Times New Roman"/>
          <w:b/>
          <w:sz w:val="24"/>
          <w:szCs w:val="24"/>
        </w:rPr>
        <w:t>u Javnom pozivu;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sl-SI"/>
        </w:rPr>
        <w:t>Prijave dostavljene nakon navedenog roka (n</w:t>
      </w:r>
      <w:r w:rsidRPr="002950AE">
        <w:rPr>
          <w:rFonts w:ascii="Times New Roman" w:eastAsia="Calibri" w:hAnsi="Times New Roman" w:cs="Times New Roman"/>
          <w:sz w:val="24"/>
          <w:szCs w:val="24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2950AE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:rsid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</w:t>
      </w:r>
      <w:r w:rsidR="00120D48">
        <w:rPr>
          <w:rFonts w:ascii="Times New Roman" w:eastAsia="Calibri" w:hAnsi="Times New Roman" w:cs="Times New Roman"/>
          <w:b/>
          <w:sz w:val="24"/>
          <w:szCs w:val="24"/>
          <w:lang w:val="nb-NO"/>
        </w:rPr>
        <w:t>na e-mail adresu  koju je naznač</w:t>
      </w:r>
      <w:r w:rsidRPr="002950AE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io zainteresovani ponuđač,  sa obavezom zainteresovanog ponuđača da potvrdi  prijem e-maila sa Obrascem A. Takodje, sve potrebne informacije, uvid u skice i uslove tendera mogu se ostvariti putem email adrese jpmdcg@t-com.me ili telefonskim putem 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na br.</w:t>
      </w:r>
      <w:r w:rsidRPr="00120D48">
        <w:rPr>
          <w:rFonts w:ascii="Times New Roman" w:eastAsia="Calibri" w:hAnsi="Times New Roman" w:cs="Times New Roman"/>
          <w:b/>
          <w:sz w:val="24"/>
          <w:szCs w:val="24"/>
        </w:rPr>
        <w:t xml:space="preserve">tel. 033/452-709 Služba za upravljanje lukama i pomorstvo, </w:t>
      </w:r>
      <w:r w:rsidRPr="00120D48">
        <w:rPr>
          <w:rFonts w:ascii="Times New Roman" w:eastAsia="Calibri" w:hAnsi="Times New Roman" w:cs="Times New Roman"/>
          <w:b/>
          <w:sz w:val="24"/>
          <w:szCs w:val="24"/>
          <w:lang w:val="sl-SI"/>
        </w:rPr>
        <w:t>zaključno sa   17.06.2020.godine do 16h.</w:t>
      </w:r>
    </w:p>
    <w:p w:rsidR="00120D48" w:rsidRDefault="00120D48" w:rsidP="002950AE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</w:p>
    <w:p w:rsidR="00120D48" w:rsidRPr="002950AE" w:rsidRDefault="00120D48" w:rsidP="002950AE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nb-NO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IX Vrijeme i mjesto javnog nadmetanja</w:t>
      </w:r>
    </w:p>
    <w:p w:rsidR="002950AE" w:rsidRPr="002950AE" w:rsidRDefault="002950AE" w:rsidP="002950AE">
      <w:pPr>
        <w:widowControl w:val="0"/>
        <w:tabs>
          <w:tab w:val="left" w:pos="3969"/>
          <w:tab w:val="left" w:pos="4639"/>
        </w:tabs>
        <w:autoSpaceDE w:val="0"/>
        <w:autoSpaceDN w:val="0"/>
        <w:spacing w:before="188" w:after="0" w:line="266" w:lineRule="auto"/>
        <w:ind w:left="-284" w:right="-567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Javno nadmetanje/aukcija kojem mogu prisustvovati ponuđači, pod uslovima kojim će obezbijediti poštovanje Preporuka Nacionalnog Koordinacionog tijela za zarazne bolesti, pojedinačno za svaku lokaciju održaće se: </w:t>
      </w:r>
    </w:p>
    <w:p w:rsidR="002950AE" w:rsidRPr="002950AE" w:rsidRDefault="002950AE" w:rsidP="002950AE">
      <w:pPr>
        <w:widowControl w:val="0"/>
        <w:numPr>
          <w:ilvl w:val="0"/>
          <w:numId w:val="11"/>
        </w:numPr>
        <w:tabs>
          <w:tab w:val="left" w:pos="3969"/>
          <w:tab w:val="left" w:pos="4639"/>
        </w:tabs>
        <w:autoSpaceDE w:val="0"/>
        <w:autoSpaceDN w:val="0"/>
        <w:spacing w:before="188" w:after="0" w:line="266" w:lineRule="auto"/>
        <w:ind w:right="-567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Dana  </w:t>
      </w:r>
      <w:r>
        <w:rPr>
          <w:rFonts w:ascii="Times New Roman" w:eastAsia="Georgia" w:hAnsi="Times New Roman" w:cs="Times New Roman"/>
          <w:b/>
          <w:sz w:val="24"/>
          <w:szCs w:val="24"/>
          <w:lang w:val="pl-PL"/>
        </w:rPr>
        <w:t>19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.</w:t>
      </w:r>
      <w:r>
        <w:rPr>
          <w:rFonts w:ascii="Times New Roman" w:eastAsia="Georgia" w:hAnsi="Times New Roman" w:cs="Times New Roman"/>
          <w:b/>
          <w:sz w:val="24"/>
          <w:szCs w:val="24"/>
          <w:lang w:val="pl-PL"/>
        </w:rPr>
        <w:t>06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.2020.godine</w:t>
      </w:r>
      <w:r w:rsidR="00120D48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poč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ev od 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10,00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casova u Sali na I spratu poslovne zgr</w:t>
      </w:r>
      <w:r>
        <w:rPr>
          <w:rFonts w:ascii="Times New Roman" w:eastAsia="Georgia" w:hAnsi="Times New Roman" w:cs="Times New Roman"/>
          <w:sz w:val="24"/>
          <w:szCs w:val="24"/>
          <w:lang w:val="pl-PL"/>
        </w:rPr>
        <w:t>ade Javnog preduzeca za lokaciju u opstini Herceg Novi, lokacija pod rednim brojem 1</w:t>
      </w:r>
      <w:r w:rsidR="00120D48">
        <w:rPr>
          <w:rFonts w:ascii="Times New Roman" w:eastAsia="Georgia" w:hAnsi="Times New Roman" w:cs="Times New Roman"/>
          <w:sz w:val="24"/>
          <w:szCs w:val="24"/>
          <w:lang w:val="pl-PL"/>
        </w:rPr>
        <w:t>, broj 1.1.</w:t>
      </w:r>
      <w:r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>u Javnom pozivu</w:t>
      </w:r>
    </w:p>
    <w:p w:rsidR="002950AE" w:rsidRPr="002950AE" w:rsidRDefault="002950AE" w:rsidP="002950AE">
      <w:pPr>
        <w:widowControl w:val="0"/>
        <w:numPr>
          <w:ilvl w:val="0"/>
          <w:numId w:val="11"/>
        </w:numPr>
        <w:tabs>
          <w:tab w:val="left" w:pos="3969"/>
          <w:tab w:val="left" w:pos="4639"/>
        </w:tabs>
        <w:autoSpaceDE w:val="0"/>
        <w:autoSpaceDN w:val="0"/>
        <w:spacing w:before="188" w:after="0" w:line="266" w:lineRule="auto"/>
        <w:ind w:right="-567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Dana  </w:t>
      </w:r>
      <w:r>
        <w:rPr>
          <w:rFonts w:ascii="Times New Roman" w:eastAsia="Georgia" w:hAnsi="Times New Roman" w:cs="Times New Roman"/>
          <w:b/>
          <w:sz w:val="24"/>
          <w:szCs w:val="24"/>
          <w:lang w:val="pl-PL"/>
        </w:rPr>
        <w:t>19.06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.2020.godine</w:t>
      </w:r>
      <w:r w:rsidR="00120D48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poč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ev od 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11,00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casova u Sali na I spratu poslovne zgrade Javnog preduzeca za lokacije u opstini Kotor, lokacije pod redn</w:t>
      </w:r>
      <w:r>
        <w:rPr>
          <w:rFonts w:ascii="Times New Roman" w:eastAsia="Georgia" w:hAnsi="Times New Roman" w:cs="Times New Roman"/>
          <w:sz w:val="24"/>
          <w:szCs w:val="24"/>
          <w:lang w:val="pl-PL"/>
        </w:rPr>
        <w:t>im brojem 2, od broja 2.1 do 2.6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u Javnom pozivu</w:t>
      </w:r>
    </w:p>
    <w:p w:rsidR="002950AE" w:rsidRDefault="002950AE" w:rsidP="002950AE">
      <w:pPr>
        <w:widowControl w:val="0"/>
        <w:numPr>
          <w:ilvl w:val="0"/>
          <w:numId w:val="11"/>
        </w:numPr>
        <w:tabs>
          <w:tab w:val="left" w:pos="3969"/>
          <w:tab w:val="left" w:pos="4639"/>
        </w:tabs>
        <w:autoSpaceDE w:val="0"/>
        <w:autoSpaceDN w:val="0"/>
        <w:spacing w:before="188" w:after="0" w:line="266" w:lineRule="auto"/>
        <w:ind w:right="-567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Dana  </w:t>
      </w:r>
      <w:r>
        <w:rPr>
          <w:rFonts w:ascii="Times New Roman" w:eastAsia="Georgia" w:hAnsi="Times New Roman" w:cs="Times New Roman"/>
          <w:b/>
          <w:sz w:val="24"/>
          <w:szCs w:val="24"/>
          <w:lang w:val="pl-PL"/>
        </w:rPr>
        <w:t>19.06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.2020.godine</w:t>
      </w:r>
      <w:r w:rsidR="00120D48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poč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ev od 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12,00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casova u Sali na I spratu poslovne zgrade Javnog preduzeca za lokacije u opstini Tivat, lokacije pod redn</w:t>
      </w:r>
      <w:r w:rsidR="001C69F1">
        <w:rPr>
          <w:rFonts w:ascii="Times New Roman" w:eastAsia="Georgia" w:hAnsi="Times New Roman" w:cs="Times New Roman"/>
          <w:sz w:val="24"/>
          <w:szCs w:val="24"/>
          <w:lang w:val="pl-PL"/>
        </w:rPr>
        <w:t>im brojem 3, broj 3.1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u Javnom pozivu</w:t>
      </w:r>
    </w:p>
    <w:p w:rsidR="002950AE" w:rsidRDefault="002950AE" w:rsidP="002950AE">
      <w:pPr>
        <w:widowControl w:val="0"/>
        <w:numPr>
          <w:ilvl w:val="0"/>
          <w:numId w:val="11"/>
        </w:numPr>
        <w:tabs>
          <w:tab w:val="left" w:pos="3969"/>
          <w:tab w:val="left" w:pos="4639"/>
        </w:tabs>
        <w:autoSpaceDE w:val="0"/>
        <w:autoSpaceDN w:val="0"/>
        <w:spacing w:before="188" w:after="0" w:line="266" w:lineRule="auto"/>
        <w:ind w:right="-567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Dana  </w:t>
      </w:r>
      <w:r>
        <w:rPr>
          <w:rFonts w:ascii="Times New Roman" w:eastAsia="Georgia" w:hAnsi="Times New Roman" w:cs="Times New Roman"/>
          <w:b/>
          <w:sz w:val="24"/>
          <w:szCs w:val="24"/>
          <w:lang w:val="pl-PL"/>
        </w:rPr>
        <w:t>19.06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.2020.godine</w:t>
      </w:r>
      <w:r w:rsidR="00120D48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poč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ev od </w:t>
      </w:r>
      <w:r>
        <w:rPr>
          <w:rFonts w:ascii="Times New Roman" w:eastAsia="Georgia" w:hAnsi="Times New Roman" w:cs="Times New Roman"/>
          <w:b/>
          <w:sz w:val="24"/>
          <w:szCs w:val="24"/>
          <w:lang w:val="pl-PL"/>
        </w:rPr>
        <w:t>13</w:t>
      </w:r>
      <w:r w:rsidRPr="002950AE">
        <w:rPr>
          <w:rFonts w:ascii="Times New Roman" w:eastAsia="Georgia" w:hAnsi="Times New Roman" w:cs="Times New Roman"/>
          <w:b/>
          <w:sz w:val="24"/>
          <w:szCs w:val="24"/>
          <w:lang w:val="pl-PL"/>
        </w:rPr>
        <w:t>,00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casova u Sali na I spratu poslovne zgrade Javnog predu</w:t>
      </w:r>
      <w:r>
        <w:rPr>
          <w:rFonts w:ascii="Times New Roman" w:eastAsia="Georgia" w:hAnsi="Times New Roman" w:cs="Times New Roman"/>
          <w:sz w:val="24"/>
          <w:szCs w:val="24"/>
          <w:lang w:val="pl-PL"/>
        </w:rPr>
        <w:t>zeca za lokacije u opstini Budva, lokacije pod rednim brojem 4, broj 4</w:t>
      </w:r>
      <w:r w:rsidRPr="002950AE">
        <w:rPr>
          <w:rFonts w:ascii="Times New Roman" w:eastAsia="Georgia" w:hAnsi="Times New Roman" w:cs="Times New Roman"/>
          <w:sz w:val="24"/>
          <w:szCs w:val="24"/>
          <w:lang w:val="pl-PL"/>
        </w:rPr>
        <w:t>.1 u Javnom pozivu</w:t>
      </w:r>
    </w:p>
    <w:p w:rsidR="002950AE" w:rsidRDefault="002950AE" w:rsidP="002950A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</w:p>
    <w:p w:rsidR="002950AE" w:rsidRPr="002950AE" w:rsidRDefault="002950AE" w:rsidP="00120D48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Pravo učešća na nadmetanju imaju sva pravna i fizička lica koja blagovremeno dostave pisanu prijavu sa potrebnom dokumentacijom i uredno se registruju.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  <w:t xml:space="preserve"> </w:t>
      </w:r>
    </w:p>
    <w:p w:rsidR="002950AE" w:rsidRPr="002950AE" w:rsidRDefault="002950AE" w:rsidP="00120D48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  <w:t xml:space="preserve">Podnosioci prijava za javno nadmetanje – aukciju su dužni da se neposredno prije početka licitacije registruju </w:t>
      </w:r>
      <w:r w:rsidRPr="002950AE">
        <w:rPr>
          <w:rFonts w:ascii="Times New Roman" w:eastAsia="Calibri" w:hAnsi="Times New Roman" w:cs="Times New Roman"/>
          <w:b/>
          <w:sz w:val="24"/>
          <w:szCs w:val="24"/>
        </w:rPr>
        <w:t>kod Komisije za aukciju u holu u prizemlju poslovne zgrade Javnog preduzeća u Budvi</w:t>
      </w: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  <w:t xml:space="preserve">. </w:t>
      </w:r>
    </w:p>
    <w:p w:rsidR="002950AE" w:rsidRPr="002950AE" w:rsidRDefault="002950AE" w:rsidP="00120D48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  <w:t>Ukoliko se ne registruju gube pravo na povraćaj bankarske garancije.</w:t>
      </w:r>
    </w:p>
    <w:p w:rsidR="002950AE" w:rsidRPr="002950AE" w:rsidRDefault="002950AE" w:rsidP="002950AE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XI Izbor najpovoljnijeg ponuđača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Učesnik koji ponudi najveći iznos naknade/zakupnine proglašava se za najpovoljnijeg ponuđača, a njegova ponuda smatra se prihvaćenom ponudom za zakup predmetne lokacije. Ponuđač koji ponudi najveći iznos zakupnine potpisuje </w:t>
      </w: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Izjavu </w:t>
      </w: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kojom prihvata izlicitirani iznos, gdje se ujedno taksativno navodi redoslijed odustanka ponuđača i iznos na kom su ponuđači odustali. 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 završenom postupka aukcije/licitacije, ponuđači imaju pravo da ulože prigovor na sami tok postupka aukcije/licitacije. Prigovor ne odlaže aukciju, a o osnovanosti prigovora komisija odlučuje neposredno po njegovom iznošenju. Odluka po prigovoru je konačna.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2950A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 ponuđač je dužan da u roku od 10 (deset) dana od dana nadmetanja zaključi Ugovor o zakupu privremene lokacije</w:t>
      </w:r>
      <w:r w:rsidRPr="002950AE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s-ES"/>
        </w:rPr>
        <w:t>U slučaju da se prvorangirani ponuđač povuče iz nadmetanja odnosno ukoliko ne potpiše ugovor u predviđenom roku aktiviraće se njegova garancija ponude, a Javno preduzeće će pozvati na zaključenje ugovora sledećeg rangiranog ponuđača u skladu sa redosledom plasmana ponuda.</w:t>
      </w: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2950AE">
        <w:rPr>
          <w:rFonts w:ascii="Times New Roman" w:eastAsia="Calibri" w:hAnsi="Times New Roman" w:cs="Times New Roman"/>
          <w:sz w:val="24"/>
          <w:szCs w:val="24"/>
          <w:lang w:val="es-ES"/>
        </w:rPr>
        <w:t>U slučaju odustanka ili odbijanja svih rangiranih ponuđača da potpišu ugovor Tenderska komisija će javno nadmetanje-aukciju proglasiti neuspjelom.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>Ponuđači koji nijesu izabrani mogu da preuzmu bankarske garancije ponude u roku od 8 (osam) dana od dana zaključenja ugovora sa najpovoljnijim ponuđačem.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spacing w:after="12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</w:rPr>
        <w:t xml:space="preserve">XII Činidbena garancija 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950AE"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 w:rsidR="009F1F67">
        <w:rPr>
          <w:rFonts w:ascii="Times New Roman" w:eastAsia="Calibri" w:hAnsi="Times New Roman" w:cs="Times New Roman"/>
          <w:b/>
          <w:sz w:val="24"/>
          <w:szCs w:val="24"/>
          <w:u w:val="single"/>
        </w:rPr>
        <w:t>sto se ne odnosi za period korišć</w:t>
      </w:r>
      <w:r w:rsidRPr="002950AE">
        <w:rPr>
          <w:rFonts w:ascii="Times New Roman" w:eastAsia="Calibri" w:hAnsi="Times New Roman" w:cs="Times New Roman"/>
          <w:b/>
          <w:sz w:val="24"/>
          <w:szCs w:val="24"/>
          <w:u w:val="single"/>
        </w:rPr>
        <w:t>enja lokacije u 2020.godini, shodno Zakljucima Upravnog odbora Javnog preduzeca broj 0203-1292/3 od 30.04.2020.godine.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>XIII</w:t>
      </w:r>
      <w:r w:rsidRPr="002950AE">
        <w:rPr>
          <w:rFonts w:ascii="Times New Roman" w:eastAsia="Calibri" w:hAnsi="Times New Roman" w:cs="Times New Roman"/>
          <w:sz w:val="24"/>
          <w:szCs w:val="24"/>
        </w:rPr>
        <w:t xml:space="preserve">  Javni poziv objavljuje se u dnevnom listu „Pobjeda“ i na internet stranici Javnog preduzeća </w:t>
      </w:r>
      <w:r w:rsidRPr="002950A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www. morskodobro.com </w:t>
      </w:r>
    </w:p>
    <w:p w:rsidR="002950AE" w:rsidRPr="002950AE" w:rsidRDefault="002950AE" w:rsidP="002950AE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950AE" w:rsidRPr="002950AE" w:rsidRDefault="002950AE" w:rsidP="002950AE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XIV  </w:t>
      </w:r>
      <w:r w:rsidRPr="002950AE">
        <w:rPr>
          <w:rFonts w:ascii="Times New Roman" w:eastAsia="Calibri" w:hAnsi="Times New Roman" w:cs="Times New Roman"/>
          <w:sz w:val="24"/>
          <w:szCs w:val="24"/>
        </w:rPr>
        <w:t>Sve potrebne informacije mogu se dobiti na br.tel. 033/452-709 Služba za upravljanje lukama i pomorstvo</w:t>
      </w:r>
    </w:p>
    <w:p w:rsidR="002950AE" w:rsidRPr="002950AE" w:rsidRDefault="002950AE" w:rsidP="002950AE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2950AE" w:rsidRPr="002950AE" w:rsidRDefault="002950AE" w:rsidP="002950AE">
      <w:pPr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2950AE" w:rsidRPr="002950AE" w:rsidRDefault="002950AE" w:rsidP="002950AE">
      <w:pPr>
        <w:rPr>
          <w:rFonts w:ascii="Times New Roman" w:eastAsia="Calibri" w:hAnsi="Times New Roman" w:cs="Times New Roman"/>
          <w:sz w:val="24"/>
          <w:szCs w:val="24"/>
        </w:rPr>
      </w:pPr>
    </w:p>
    <w:p w:rsidR="006D755B" w:rsidRDefault="006D755B"/>
    <w:sectPr w:rsidR="006D755B" w:rsidSect="002950AE"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8A" w:rsidRDefault="00F3488A">
      <w:pPr>
        <w:spacing w:after="0" w:line="240" w:lineRule="auto"/>
      </w:pPr>
      <w:r>
        <w:separator/>
      </w:r>
    </w:p>
  </w:endnote>
  <w:endnote w:type="continuationSeparator" w:id="0">
    <w:p w:rsidR="00F3488A" w:rsidRDefault="00F3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AE" w:rsidRPr="00D67E1F" w:rsidRDefault="002950AE">
    <w:pPr>
      <w:pStyle w:val="Footer"/>
      <w:jc w:val="right"/>
      <w:rPr>
        <w:rFonts w:ascii="Cambria" w:hAnsi="Cambria"/>
        <w:sz w:val="20"/>
        <w:szCs w:val="20"/>
      </w:rPr>
    </w:pPr>
    <w:r w:rsidRPr="00D67E1F">
      <w:rPr>
        <w:rFonts w:ascii="Cambria" w:hAnsi="Cambria"/>
        <w:sz w:val="20"/>
        <w:szCs w:val="20"/>
      </w:rPr>
      <w:fldChar w:fldCharType="begin"/>
    </w:r>
    <w:r w:rsidRPr="00D67E1F">
      <w:rPr>
        <w:rFonts w:ascii="Cambria" w:hAnsi="Cambria"/>
        <w:sz w:val="20"/>
        <w:szCs w:val="20"/>
      </w:rPr>
      <w:instrText xml:space="preserve"> PAGE   \* MERGEFORMAT </w:instrText>
    </w:r>
    <w:r w:rsidRPr="00D67E1F">
      <w:rPr>
        <w:rFonts w:ascii="Cambria" w:hAnsi="Cambria"/>
        <w:sz w:val="20"/>
        <w:szCs w:val="20"/>
      </w:rPr>
      <w:fldChar w:fldCharType="separate"/>
    </w:r>
    <w:r w:rsidR="009F1F67">
      <w:rPr>
        <w:rFonts w:ascii="Cambria" w:hAnsi="Cambria"/>
        <w:noProof/>
        <w:sz w:val="20"/>
        <w:szCs w:val="20"/>
      </w:rPr>
      <w:t>13</w:t>
    </w:r>
    <w:r w:rsidRPr="00D67E1F">
      <w:rPr>
        <w:rFonts w:ascii="Cambria" w:hAnsi="Cambria"/>
        <w:noProof/>
        <w:sz w:val="20"/>
        <w:szCs w:val="20"/>
      </w:rPr>
      <w:fldChar w:fldCharType="end"/>
    </w:r>
  </w:p>
  <w:p w:rsidR="002950AE" w:rsidRDefault="00295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8A" w:rsidRDefault="00F3488A">
      <w:pPr>
        <w:spacing w:after="0" w:line="240" w:lineRule="auto"/>
      </w:pPr>
      <w:r>
        <w:separator/>
      </w:r>
    </w:p>
  </w:footnote>
  <w:footnote w:type="continuationSeparator" w:id="0">
    <w:p w:rsidR="00F3488A" w:rsidRDefault="00F34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6903A4C"/>
    <w:multiLevelType w:val="hybridMultilevel"/>
    <w:tmpl w:val="2FB0E526"/>
    <w:lvl w:ilvl="0" w:tplc="38EE7CB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6" w:hanging="360"/>
      </w:pPr>
    </w:lvl>
    <w:lvl w:ilvl="2" w:tplc="2C1A001B" w:tentative="1">
      <w:start w:val="1"/>
      <w:numFmt w:val="lowerRoman"/>
      <w:lvlText w:val="%3."/>
      <w:lvlJc w:val="right"/>
      <w:pPr>
        <w:ind w:left="1516" w:hanging="180"/>
      </w:pPr>
    </w:lvl>
    <w:lvl w:ilvl="3" w:tplc="2C1A000F" w:tentative="1">
      <w:start w:val="1"/>
      <w:numFmt w:val="decimal"/>
      <w:lvlText w:val="%4."/>
      <w:lvlJc w:val="left"/>
      <w:pPr>
        <w:ind w:left="2236" w:hanging="360"/>
      </w:pPr>
    </w:lvl>
    <w:lvl w:ilvl="4" w:tplc="2C1A0019" w:tentative="1">
      <w:start w:val="1"/>
      <w:numFmt w:val="lowerLetter"/>
      <w:lvlText w:val="%5."/>
      <w:lvlJc w:val="left"/>
      <w:pPr>
        <w:ind w:left="2956" w:hanging="360"/>
      </w:pPr>
    </w:lvl>
    <w:lvl w:ilvl="5" w:tplc="2C1A001B" w:tentative="1">
      <w:start w:val="1"/>
      <w:numFmt w:val="lowerRoman"/>
      <w:lvlText w:val="%6."/>
      <w:lvlJc w:val="right"/>
      <w:pPr>
        <w:ind w:left="3676" w:hanging="180"/>
      </w:pPr>
    </w:lvl>
    <w:lvl w:ilvl="6" w:tplc="2C1A000F" w:tentative="1">
      <w:start w:val="1"/>
      <w:numFmt w:val="decimal"/>
      <w:lvlText w:val="%7."/>
      <w:lvlJc w:val="left"/>
      <w:pPr>
        <w:ind w:left="4396" w:hanging="360"/>
      </w:pPr>
    </w:lvl>
    <w:lvl w:ilvl="7" w:tplc="2C1A0019" w:tentative="1">
      <w:start w:val="1"/>
      <w:numFmt w:val="lowerLetter"/>
      <w:lvlText w:val="%8."/>
      <w:lvlJc w:val="left"/>
      <w:pPr>
        <w:ind w:left="5116" w:hanging="360"/>
      </w:pPr>
    </w:lvl>
    <w:lvl w:ilvl="8" w:tplc="2C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CB4FD0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D12FC"/>
    <w:multiLevelType w:val="hybridMultilevel"/>
    <w:tmpl w:val="4C84EB74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1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AE"/>
    <w:rsid w:val="00120D48"/>
    <w:rsid w:val="001C69F1"/>
    <w:rsid w:val="002950AE"/>
    <w:rsid w:val="006D755B"/>
    <w:rsid w:val="0081020D"/>
    <w:rsid w:val="009F1F67"/>
    <w:rsid w:val="00F3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6AC7D-B1E6-43E0-B5D2-0F859F60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95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0AE"/>
  </w:style>
  <w:style w:type="paragraph" w:styleId="BalloonText">
    <w:name w:val="Balloon Text"/>
    <w:basedOn w:val="Normal"/>
    <w:link w:val="BalloonTextChar"/>
    <w:uiPriority w:val="99"/>
    <w:semiHidden/>
    <w:unhideWhenUsed/>
    <w:rsid w:val="0012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2020-06-03T12:47:00Z</cp:lastPrinted>
  <dcterms:created xsi:type="dcterms:W3CDTF">2020-06-03T11:00:00Z</dcterms:created>
  <dcterms:modified xsi:type="dcterms:W3CDTF">2020-06-03T12:54:00Z</dcterms:modified>
</cp:coreProperties>
</file>