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ED2B" w14:textId="77777777" w:rsidR="000C688D" w:rsidRDefault="000C688D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4C55FF" w14:textId="77777777" w:rsidR="00F64626" w:rsidRPr="00C25D34" w:rsidRDefault="00F64626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object w:dxaOrig="2070" w:dyaOrig="870" w14:anchorId="4767C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44.25pt" o:ole="" filled="t">
            <v:fill color2="black"/>
            <v:imagedata r:id="rId5" o:title=""/>
          </v:shape>
          <o:OLEObject Type="Embed" ProgID="CorelDRAW" ShapeID="_x0000_i1025" DrawAspect="Content" ObjectID="_1689676795" r:id="rId6"/>
        </w:object>
      </w:r>
    </w:p>
    <w:p w14:paraId="0E8C0D81" w14:textId="77777777" w:rsidR="000C688D" w:rsidRDefault="000C688D" w:rsidP="000C688D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</w:p>
    <w:p w14:paraId="2DEEB6A0" w14:textId="77777777" w:rsidR="00F64626" w:rsidRDefault="000C688D" w:rsidP="000C688D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   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Na osnovu člana 21 Statuta Javnog preduzeća za upravljanje morskim dobrom, člana 5 i 7 Zakona o morskom dobru ("Sl. list RCG", br. 14/92, 27/94  i „Sl.list CG“, br. 51/08, 21/09, 73/10 i 40/10 ), a u vezi sa članom 10 stav 1 alineja 12, članom 29 stav 1 i članom 29 stav 3 Zakona o državnoj imovini ("Sl. list CG", br. 21/09 i 40/11), članova 4, 29 i 31 Uredbe o prodaji i davanju u zakup stvari u državnoj imovini (“Sl. list CG” br. 44/10), </w:t>
      </w:r>
      <w:r w:rsidR="00BD633E">
        <w:rPr>
          <w:rFonts w:ascii="Times New Roman" w:eastAsia="Calibri" w:hAnsi="Times New Roman" w:cs="Times New Roman"/>
          <w:sz w:val="24"/>
          <w:szCs w:val="24"/>
        </w:rPr>
        <w:t>Odluke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Upravnog odbora broj:0203-388/7 od 28.01.2019.god o davanju u zakup/na korišćenje djelova morskog dobra prema Programu privremenih objekata u zoni morskog dobra i Atlasu crnogorskih plaža i kup</w:t>
      </w:r>
      <w:r w:rsidR="00BD633E">
        <w:rPr>
          <w:rFonts w:ascii="Times New Roman" w:eastAsia="Calibri" w:hAnsi="Times New Roman" w:cs="Times New Roman"/>
          <w:sz w:val="24"/>
          <w:szCs w:val="24"/>
        </w:rPr>
        <w:t>ališta za period 2019.-2023.god.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626" w:rsidRPr="00BD633E">
        <w:rPr>
          <w:rFonts w:ascii="Times New Roman" w:eastAsia="Calibri" w:hAnsi="Times New Roman" w:cs="Times New Roman"/>
          <w:sz w:val="24"/>
          <w:szCs w:val="24"/>
        </w:rPr>
        <w:t>na koju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je saglasnost dala </w:t>
      </w:r>
      <w:r w:rsidR="00F64626" w:rsidRPr="00BD633E">
        <w:rPr>
          <w:rFonts w:ascii="Times New Roman" w:eastAsia="Calibri" w:hAnsi="Times New Roman" w:cs="Times New Roman"/>
          <w:sz w:val="24"/>
          <w:szCs w:val="24"/>
        </w:rPr>
        <w:t>Vlada Crne Gore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Zaključkom broj:07-263 od 07.02.2019.god</w:t>
      </w:r>
      <w:r w:rsidR="00BD63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Program</w:t>
      </w:r>
      <w:r w:rsidR="00BD633E">
        <w:rPr>
          <w:rFonts w:ascii="Times New Roman" w:eastAsia="Calibri" w:hAnsi="Times New Roman" w:cs="Times New Roman"/>
          <w:sz w:val="24"/>
          <w:szCs w:val="24"/>
        </w:rPr>
        <w:t>a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objekata obalne infrastrukture u zoni morsko</w:t>
      </w:r>
      <w:r w:rsidR="00BD633E">
        <w:rPr>
          <w:rFonts w:ascii="Times New Roman" w:eastAsia="Calibri" w:hAnsi="Times New Roman" w:cs="Times New Roman"/>
          <w:sz w:val="24"/>
          <w:szCs w:val="24"/>
        </w:rPr>
        <w:t>g dobra za period 2019.2023.god.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i Izmjena i dopuna</w:t>
      </w:r>
      <w:r w:rsidR="00BD633E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Programa objekata obalne infrastrukture koje su usvo</w:t>
      </w:r>
      <w:r w:rsidR="00BD633E">
        <w:rPr>
          <w:rFonts w:ascii="Times New Roman" w:eastAsia="Calibri" w:hAnsi="Times New Roman" w:cs="Times New Roman"/>
          <w:sz w:val="24"/>
          <w:szCs w:val="24"/>
          <w:lang w:val="en-US"/>
        </w:rPr>
        <w:t>jene od strane Upravnog odbora J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avnog preduzeca broj 0203-1091/6 od 27.03.2020.godine</w:t>
      </w:r>
      <w:r w:rsidR="00BD633E" w:rsidRPr="00273A51">
        <w:rPr>
          <w:rFonts w:ascii="Times New Roman" w:eastAsia="Calibri" w:hAnsi="Times New Roman" w:cs="Times New Roman"/>
          <w:sz w:val="24"/>
          <w:szCs w:val="24"/>
        </w:rPr>
        <w:t>, Odluke</w:t>
      </w:r>
      <w:r w:rsidR="00F64626" w:rsidRPr="00273A51">
        <w:rPr>
          <w:rFonts w:ascii="Times New Roman" w:eastAsia="Calibri" w:hAnsi="Times New Roman" w:cs="Times New Roman"/>
          <w:sz w:val="24"/>
          <w:szCs w:val="24"/>
        </w:rPr>
        <w:t xml:space="preserve"> Upravnog odbora broj:0203-2023/10-1 od 10.05.2019.godine o objavljivanju javnog poziva za javno nadmetanje za zakup izgrađenih djelova morskog dobra, </w:t>
      </w:r>
      <w:r w:rsidR="00BD633E" w:rsidRPr="00273A51">
        <w:rPr>
          <w:rFonts w:ascii="Times New Roman" w:eastAsia="Calibri" w:hAnsi="Times New Roman" w:cs="Times New Roman"/>
          <w:sz w:val="24"/>
          <w:szCs w:val="24"/>
        </w:rPr>
        <w:t>Odluke</w:t>
      </w:r>
      <w:r w:rsidR="00F64626" w:rsidRPr="00273A51">
        <w:rPr>
          <w:rFonts w:ascii="Times New Roman" w:eastAsia="Calibri" w:hAnsi="Times New Roman" w:cs="Times New Roman"/>
          <w:sz w:val="24"/>
          <w:szCs w:val="24"/>
        </w:rPr>
        <w:t xml:space="preserve"> Upravnog</w:t>
      </w:r>
      <w:r w:rsidR="00F64626" w:rsidRPr="0045453A">
        <w:rPr>
          <w:rFonts w:ascii="Times New Roman" w:eastAsia="Calibri" w:hAnsi="Times New Roman" w:cs="Times New Roman"/>
          <w:sz w:val="24"/>
          <w:szCs w:val="24"/>
        </w:rPr>
        <w:t xml:space="preserve"> odbora broj:0203-1801/8 od 26.06.2020.godine kojom su usvojene Izmjene i dopune Programa objekata obalne in</w:t>
      </w:r>
      <w:r w:rsidR="00343465">
        <w:rPr>
          <w:rFonts w:ascii="Times New Roman" w:eastAsia="Calibri" w:hAnsi="Times New Roman" w:cs="Times New Roman"/>
          <w:sz w:val="24"/>
          <w:szCs w:val="24"/>
        </w:rPr>
        <w:t>frastrukture,</w:t>
      </w:r>
      <w:r w:rsidR="00BD633E" w:rsidRPr="0045453A">
        <w:rPr>
          <w:rFonts w:ascii="Times New Roman" w:hAnsi="Times New Roman" w:cs="Times New Roman"/>
          <w:sz w:val="24"/>
          <w:szCs w:val="24"/>
        </w:rPr>
        <w:t xml:space="preserve"> </w:t>
      </w:r>
      <w:r w:rsidR="0045453A" w:rsidRPr="0045453A">
        <w:rPr>
          <w:rFonts w:ascii="Times New Roman" w:hAnsi="Times New Roman" w:cs="Times New Roman"/>
          <w:sz w:val="24"/>
          <w:szCs w:val="24"/>
        </w:rPr>
        <w:t xml:space="preserve">Odluke Upravnog odbora broj:0203-1203/8 od 27.04.2021.godine, </w:t>
      </w:r>
      <w:r w:rsidR="00F64626" w:rsidRPr="0045453A">
        <w:rPr>
          <w:rFonts w:ascii="Times New Roman" w:eastAsia="Calibri" w:hAnsi="Times New Roman" w:cs="Times New Roman"/>
          <w:sz w:val="24"/>
          <w:szCs w:val="24"/>
        </w:rPr>
        <w:t>Javno</w:t>
      </w:r>
      <w:r w:rsidR="00F64626" w:rsidRPr="00BD633E">
        <w:rPr>
          <w:rFonts w:ascii="Times New Roman" w:eastAsia="Calibri" w:hAnsi="Times New Roman" w:cs="Times New Roman"/>
          <w:sz w:val="24"/>
          <w:szCs w:val="24"/>
        </w:rPr>
        <w:t xml:space="preserve"> preduzeće za upravljanje morskim dobrom objavljuje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E0EAC6" w14:textId="77777777" w:rsidR="00BD633E" w:rsidRPr="00C25D34" w:rsidRDefault="00BD633E" w:rsidP="00F64626">
      <w:pPr>
        <w:autoSpaceDE w:val="0"/>
        <w:spacing w:after="0" w:line="240" w:lineRule="auto"/>
        <w:ind w:left="-284" w:right="-284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9B6ED2" w14:textId="77777777" w:rsidR="00F64626" w:rsidRPr="00C25D34" w:rsidRDefault="00BD633E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J A V N I  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 O Z I V</w:t>
      </w:r>
    </w:p>
    <w:p w14:paraId="59F72D4D" w14:textId="77777777" w:rsidR="00F64626" w:rsidRPr="00C25D34" w:rsidRDefault="00F64626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 JAVNO NADMETANJE ZA ZAKUP PRISTANIŠTA I PRIVEZIŠTA</w:t>
      </w:r>
    </w:p>
    <w:p w14:paraId="7A91D9F5" w14:textId="0C4638EC" w:rsidR="00F64626" w:rsidRDefault="00F64626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BROJ</w:t>
      </w:r>
      <w:r w:rsidRPr="002A0B0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: </w:t>
      </w:r>
      <w:r w:rsidR="00D80DA5" w:rsidRPr="002A0B0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0209-</w:t>
      </w:r>
      <w:r w:rsidR="002A0B09" w:rsidRPr="002A0B0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2306/1 od 05.08</w:t>
      </w:r>
      <w:r w:rsidR="00D80DA5" w:rsidRPr="002A0B0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.2021. godine</w:t>
      </w:r>
      <w:r w:rsidR="00D80DA5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14:paraId="48E23000" w14:textId="77777777" w:rsidR="00BD4BE9" w:rsidRDefault="00BD4BE9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</w:p>
    <w:p w14:paraId="2AD643BB" w14:textId="6D053A6D" w:rsidR="00F64626" w:rsidRPr="00BD4BE9" w:rsidRDefault="002A0B09" w:rsidP="002A0B09">
      <w:p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-142"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I.</w:t>
      </w:r>
      <w:r w:rsidR="00F64626" w:rsidRPr="00BD4BE9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Predmet</w:t>
      </w:r>
      <w:proofErr w:type="spellEnd"/>
    </w:p>
    <w:p w14:paraId="78F12A68" w14:textId="77777777" w:rsidR="00F64626" w:rsidRPr="00C25D34" w:rsidRDefault="00F64626" w:rsidP="00F64626">
      <w:pPr>
        <w:tabs>
          <w:tab w:val="left" w:pos="142"/>
        </w:tabs>
        <w:suppressAutoHyphens/>
        <w:autoSpaceDE w:val="0"/>
        <w:autoSpaceDN w:val="0"/>
        <w:adjustRightInd w:val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Predmet ovog poziva je davanje u zakup/na korišćenje djelova morskog dobra i to:</w:t>
      </w:r>
    </w:p>
    <w:p w14:paraId="56F4D0F0" w14:textId="77777777" w:rsidR="00F64626" w:rsidRDefault="00F64626" w:rsidP="00F64626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Lokacije pristaništa i privezišta koje su određene Programom objekata obalne infrastrukture koje je donijelo Javno preduzeće za upravljanje morskim dobrom Odlukom Upravnog odbora broj 0203-3884/4 na sjednici održanoj 08.01.2019.god. kao i Izmjenama i dopunama Programa objekata obalne infrastrukture koje su usvo</w:t>
      </w:r>
      <w:r w:rsidR="000F6C34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jene od strane Upravnog odbora J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avnog preduzeca broj 0203-1091/6 od 27.03.2020.godine i lokacije predviđene </w:t>
      </w:r>
      <w:r w:rsidRPr="00C25D34">
        <w:rPr>
          <w:rFonts w:ascii="Times New Roman" w:eastAsia="Calibri" w:hAnsi="Times New Roman" w:cs="Times New Roman"/>
          <w:spacing w:val="-4"/>
          <w:sz w:val="24"/>
          <w:szCs w:val="24"/>
        </w:rPr>
        <w:t>Izmjenama i dopunama P</w:t>
      </w:r>
      <w:r w:rsidRPr="00C25D34">
        <w:rPr>
          <w:rFonts w:ascii="Times New Roman" w:eastAsia="Calibri" w:hAnsi="Times New Roman" w:cs="Times New Roman"/>
          <w:sz w:val="24"/>
          <w:szCs w:val="24"/>
        </w:rPr>
        <w:t>rograma</w:t>
      </w:r>
      <w:r w:rsidRPr="00C25D34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privremenih objekata u</w:t>
      </w:r>
      <w:r w:rsidRPr="00C25D34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zoni morskog</w:t>
      </w:r>
      <w:r w:rsidRPr="00C25D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dobra</w:t>
      </w:r>
      <w:r w:rsidRPr="00C25D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za</w:t>
      </w:r>
      <w:r w:rsidRPr="00C25D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period</w:t>
      </w:r>
      <w:r w:rsidRPr="00C25D34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2019-2023.</w:t>
      </w:r>
      <w:r w:rsidRPr="00C25D3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god.</w:t>
      </w:r>
      <w:r w:rsidRPr="00C25D3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koje je donijelo Ministarstvo održivog razvoja i turizma, broj:01-40/12 od 22.01.2020.god. kao i Izmjenama i dopuna broj: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01-40/142 od 29.06.2020.godine na sledećim lokacijama: </w:t>
      </w:r>
    </w:p>
    <w:p w14:paraId="09007C74" w14:textId="77777777" w:rsidR="0045453A" w:rsidRPr="00C25D34" w:rsidRDefault="0045453A" w:rsidP="00F64626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2B32BE1" w14:textId="77777777" w:rsidR="00F64626" w:rsidRPr="00C25D34" w:rsidRDefault="00F64626" w:rsidP="00F64626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EA74A5A" w14:textId="7D025DAB" w:rsidR="00F64626" w:rsidRPr="0045453A" w:rsidRDefault="00F64626" w:rsidP="00BD4B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C25D3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OPŠTINA </w:t>
      </w:r>
      <w:r w:rsidR="00BD4BE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BUDVA</w:t>
      </w:r>
    </w:p>
    <w:p w14:paraId="08A3CCDA" w14:textId="710AFC1E" w:rsidR="00BD4BE9" w:rsidRPr="00BD4BE9" w:rsidRDefault="00BD4BE9" w:rsidP="00BD4BE9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1.1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PREDMET ZAKUPA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Čvrsto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izgrađeno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pristanište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k.p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3057 KO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Budva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duzine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operativne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obale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pristajanje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L=5</w:t>
      </w:r>
      <w:proofErr w:type="gram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  Plato</w:t>
      </w:r>
      <w:proofErr w:type="gram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1= 14,8m x 2,40 m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Plato2= 9m x 5,5m </w:t>
      </w:r>
    </w:p>
    <w:p w14:paraId="0EF66CE3" w14:textId="77777777" w:rsidR="00BD4BE9" w:rsidRPr="00BD4BE9" w:rsidRDefault="00BD4BE9" w:rsidP="00BD4B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Lokacija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označena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D4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u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Programu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objekata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obalne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infrastrukture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za period 2019-2023 </w:t>
      </w:r>
      <w:proofErr w:type="gram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god</w:t>
      </w:r>
      <w:proofErr w:type="gram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 </w:t>
      </w:r>
    </w:p>
    <w:p w14:paraId="1EBC01F4" w14:textId="77777777" w:rsidR="00BD4BE9" w:rsidRPr="00BD4BE9" w:rsidRDefault="00BD4BE9" w:rsidP="00BD4B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NAMJENA: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pristajanje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plovnih</w:t>
      </w:r>
      <w:proofErr w:type="spellEnd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objekata</w:t>
      </w:r>
      <w:proofErr w:type="spellEnd"/>
    </w:p>
    <w:p w14:paraId="2DA3BE0A" w14:textId="77777777" w:rsidR="00BD4BE9" w:rsidRPr="00BD4BE9" w:rsidRDefault="00BD4BE9" w:rsidP="00BD4B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/>
        </w:rPr>
      </w:pPr>
      <w:r w:rsidRPr="00BD4B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POČETNA CIJENA ZAKUPA: </w:t>
      </w:r>
      <w:r w:rsidRPr="00BD4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1020,00 EURA</w:t>
      </w:r>
    </w:p>
    <w:p w14:paraId="5D85A8E1" w14:textId="7F3A52F7" w:rsidR="0045453A" w:rsidRDefault="0045453A" w:rsidP="00BD4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AC9647" w14:textId="77777777" w:rsidR="0045453A" w:rsidRPr="0045453A" w:rsidRDefault="0045453A" w:rsidP="0045453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A2D7" w14:textId="77777777" w:rsidR="00F64626" w:rsidRPr="00BD633E" w:rsidRDefault="00F64626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Minimalne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cijene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zakupa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date su bez uračunatog PDV-A.</w:t>
      </w:r>
    </w:p>
    <w:p w14:paraId="5ED06234" w14:textId="77777777" w:rsidR="002A0B09" w:rsidRDefault="002A0B09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7AF6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II Način</w:t>
      </w:r>
    </w:p>
    <w:p w14:paraId="1B4722B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Davanje u zakup vrši se putem javnog nadmetanja (aukcije). </w:t>
      </w:r>
    </w:p>
    <w:p w14:paraId="130C8CCC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III Početna cijena</w:t>
      </w:r>
    </w:p>
    <w:p w14:paraId="6382234E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3.1 Lokacije se daju  u zakup u viđenom stanju.</w:t>
      </w:r>
    </w:p>
    <w:p w14:paraId="1291663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Lokacije se daju u zakup bez postavljenih objekata i infrastrukturne opremljenosti.</w:t>
      </w:r>
    </w:p>
    <w:p w14:paraId="6F0A2D2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7472483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86DB8" w14:textId="77777777" w:rsidR="00F64626" w:rsidRPr="003643B0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 </w:t>
      </w:r>
      <w:r w:rsidRPr="003643B0">
        <w:rPr>
          <w:rFonts w:ascii="Times New Roman" w:eastAsia="Calibri" w:hAnsi="Times New Roman" w:cs="Times New Roman"/>
          <w:b/>
          <w:bCs/>
          <w:sz w:val="24"/>
          <w:szCs w:val="24"/>
        </w:rPr>
        <w:t>Naknada za korišćenje/zakupnina</w:t>
      </w:r>
    </w:p>
    <w:p w14:paraId="78A617AA" w14:textId="77777777" w:rsidR="003643B0" w:rsidRPr="003643B0" w:rsidRDefault="003643B0" w:rsidP="003643B0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643B0">
        <w:rPr>
          <w:rFonts w:ascii="Times New Roman" w:hAnsi="Times New Roman" w:cs="Times New Roman"/>
          <w:b/>
          <w:sz w:val="24"/>
          <w:szCs w:val="24"/>
        </w:rPr>
        <w:t>Minimalne cijene sezonskog zakupa za 2021.godinu date su bez uračunatog PDV-A.</w:t>
      </w:r>
    </w:p>
    <w:p w14:paraId="16E6BD3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zakupa, odnosno zakupnina/naknada za korišćenje morskog dobra se uvećava  za iznos PDV-a.</w:t>
      </w:r>
    </w:p>
    <w:p w14:paraId="2CF57C3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 svaku lokaciju obračunava se na godišnjem/sezonskom nivou saglasno Cjeno</w:t>
      </w:r>
      <w:r w:rsidR="00243399">
        <w:rPr>
          <w:rFonts w:ascii="Times New Roman" w:eastAsia="Calibri" w:hAnsi="Times New Roman" w:cs="Times New Roman"/>
          <w:sz w:val="24"/>
          <w:szCs w:val="24"/>
        </w:rPr>
        <w:t>vniku početnih naknada iz 2019.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god. koji je utvrdilo Javno preduzeće za upravljanje morskim dobrom.   </w:t>
      </w:r>
    </w:p>
    <w:p w14:paraId="60AA006C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se odnosi na kalendarsku godinu bez obzira kada je ugovor zaključen.</w:t>
      </w:r>
    </w:p>
    <w:p w14:paraId="74DF17E8" w14:textId="77777777" w:rsidR="00343465" w:rsidRPr="00343465" w:rsidRDefault="00343465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465">
        <w:rPr>
          <w:rFonts w:ascii="Times New Roman" w:hAnsi="Times New Roman" w:cs="Times New Roman"/>
          <w:sz w:val="24"/>
          <w:szCs w:val="24"/>
          <w:lang w:val="sl-SI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korisnicima/zakupcima koji obavljaju sezonsku djelatnost na kupalištima, privremenim lokacijama, pristaništima i dr. u zoni morskog dobra u visini od 50% od ugovorene godišnje/sezonske naknade za korišćenje morskog dobra</w:t>
      </w:r>
      <w:r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14:paraId="2DA515F8" w14:textId="77777777" w:rsidR="00BD633E" w:rsidRPr="00BD633E" w:rsidRDefault="00BD633E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33E">
        <w:rPr>
          <w:rFonts w:ascii="Times New Roman" w:hAnsi="Times New Roman" w:cs="Times New Roman"/>
          <w:b/>
          <w:sz w:val="24"/>
          <w:szCs w:val="24"/>
        </w:rPr>
        <w:t>Uvažavajući da je Zaključcima Upravnog odbora Javnog preduzeća broj:0203-1203/8 od 27.04.2021.godine planirana izmjena cjenovne politike, odnosno usvajanje inoviranog Cjenovnika početnih naknada za korišćenje/zakup morskog dobra, naknada za 2022. i 2023.godinu biće utvrđena aneksom ugovora.</w:t>
      </w:r>
    </w:p>
    <w:p w14:paraId="31489A2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Zakupnina/naknada za korišćenje morskog dobra  plaća se u cjelini u momentu zaključenja ugovora ili u najviše tri rate, od kojih prva rata dospijeva u momentu zaključenja ugovora. uz obavezu izabranog ponuđača da u momentu zaključenja ugovora dostavi Javnom preduzeću orginalnu, bezuslovnu i naplativu na prvi poziv bankarsku garanciju za plaćanje preostalog iznosa zakupnine, koji je uvećan za iznos  PDV-a.</w:t>
      </w:r>
    </w:p>
    <w:p w14:paraId="494E491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3.3 Vrijeme zakupa</w:t>
      </w:r>
    </w:p>
    <w:p w14:paraId="5B57EF4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t xml:space="preserve"> Ugovori se zaključuju za tekuću godinu računajući od dana zaključenja ugovora do  </w:t>
      </w:r>
      <w:r w:rsidR="004B444F" w:rsidRPr="00C25D34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31.12.2021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. god. </w:t>
      </w:r>
      <w:r w:rsidRPr="00C25D34">
        <w:rPr>
          <w:rFonts w:ascii="Times New Roman" w:eastAsia="Calibri" w:hAnsi="Times New Roman" w:cs="Times New Roman"/>
          <w:sz w:val="24"/>
          <w:szCs w:val="24"/>
        </w:rPr>
        <w:t>uz mogućnost godišnjeg prod</w:t>
      </w:r>
      <w:r w:rsidR="004B444F" w:rsidRPr="00C25D34">
        <w:rPr>
          <w:rFonts w:ascii="Times New Roman" w:eastAsia="Calibri" w:hAnsi="Times New Roman" w:cs="Times New Roman"/>
          <w:sz w:val="24"/>
          <w:szCs w:val="24"/>
        </w:rPr>
        <w:t>uženja za period od 2 ( dvije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) godine, odnosno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31.12.2023.god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pod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uslovom da je korisnik/zakupac  izvršio obaveze predviđene ovim ugovorom, da ugovor nije jednostrano ili sporazumno raskinut ili u slučaju da je pokrenut sudski </w:t>
      </w:r>
      <w:r w:rsidRPr="00C25D34">
        <w:rPr>
          <w:rFonts w:ascii="Times New Roman" w:eastAsia="Calibri" w:hAnsi="Times New Roman" w:cs="Times New Roman"/>
          <w:sz w:val="24"/>
          <w:szCs w:val="24"/>
          <w:lang w:val="sl-SI"/>
        </w:rPr>
        <w:lastRenderedPageBreak/>
        <w:t>spor između Javnog preduzeća i Korisnika/Zakupca zbog neispunjenja ugovorom preuzetih obaveza.</w:t>
      </w:r>
    </w:p>
    <w:p w14:paraId="57830F12" w14:textId="77777777" w:rsidR="00446F5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14:paraId="59E5F9AF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IV Uslovi za ponuđača</w:t>
      </w:r>
    </w:p>
    <w:p w14:paraId="66A887BD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4.1</w:t>
      </w: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6A6C3D57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14:paraId="557A3115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4BB9E3D8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Tražene uslove  Ponuđač</w:t>
      </w:r>
      <w:r w:rsidRPr="00C25D34"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  <w:t xml:space="preserve"> </w:t>
      </w:r>
      <w:r w:rsidRPr="00C25D34"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  <w:t>je dužan da ispuni u momentu podnošenja  prijave.</w:t>
      </w:r>
    </w:p>
    <w:p w14:paraId="3566C0EB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</w:p>
    <w:p w14:paraId="4203BCF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 Kriterijumi za ponuđače: </w:t>
      </w:r>
    </w:p>
    <w:p w14:paraId="2475B93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14:paraId="534EFFCB" w14:textId="77777777" w:rsidR="004B444F" w:rsidRPr="00C25D34" w:rsidRDefault="004B444F" w:rsidP="00F64626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8B7EAE9" w14:textId="77777777" w:rsidR="00F64626" w:rsidRPr="0045453A" w:rsidRDefault="00F64626" w:rsidP="00F64626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IZMJENE I DOPUNE KRITERIJUMA</w:t>
      </w:r>
    </w:p>
    <w:p w14:paraId="62BBB027" w14:textId="77777777" w:rsidR="00F64626" w:rsidRPr="00C25D34" w:rsidRDefault="00F64626" w:rsidP="00F64626">
      <w:pPr>
        <w:autoSpaceDE w:val="0"/>
        <w:autoSpaceDN w:val="0"/>
        <w:spacing w:after="24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za određivanje visine naknada za </w:t>
      </w:r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 i vez</w:t>
      </w:r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ivanje plovila u lukama od lokalnog značaja </w:t>
      </w:r>
      <w:r w:rsidRPr="0045453A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 na ostalim objektima obalne infrastrukture</w:t>
      </w:r>
    </w:p>
    <w:p w14:paraId="5561BB4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      I    PRISTAJANJE</w:t>
      </w:r>
    </w:p>
    <w:p w14:paraId="2159ACD1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 odobravanja iznosa naknade (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čl. 9, tačka 10 i čl.12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) Zakona o lukama - Sl. list Crne Gore, 51/8; 40/11; 27/13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za usluge pristajanja plovila u lukama od lokalnog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14:paraId="08479F9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riterijume</w:t>
      </w:r>
    </w:p>
    <w:p w14:paraId="3EC289F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a)    Nivo opremljenosti operativne obale – pristaništa </w:t>
      </w:r>
    </w:p>
    <w:p w14:paraId="4833E3AF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b)    Dužina i/ili kapacitet plovila </w:t>
      </w:r>
    </w:p>
    <w:p w14:paraId="09B27C55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  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Namjena - karakter plovila i vrsta saobraćaja kojeg obavlja</w:t>
      </w:r>
    </w:p>
    <w:p w14:paraId="1F586E7F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1E93B8A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Nivo opremljenosti operativne obale – pristaništa, se odnosi na uređaje, opremu i kvalitet sadržaja koji su obezbijeđeni na objektu.</w:t>
      </w:r>
    </w:p>
    <w:p w14:paraId="241FD98D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 ili kapacitet plovila s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e odnosi na korišćeni prostor odnosno dio operativne obale / pristaništa, koji se koristi kod pristajanja plovila a zavisi od dužine i nosivosti plovila.       Namjena ili karakter plovila se odnosi na vrstu saobraćaja kojeg obavlja plovilo  -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namjena za koju je registrovano plovilo.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   </w:t>
      </w:r>
    </w:p>
    <w:p w14:paraId="74E9CBDD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 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  Visina naknade</w:t>
      </w:r>
    </w:p>
    <w:p w14:paraId="483ECEB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1)           Za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 do 7 m¹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koji su registrovani za sport i rekreaciju i za plovne objekte registrovane za obavljanje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malog privrednog ribolova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ne naplaćuje se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naknada za pristajanje u lukama od lokaln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og značaja, na pristaništima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ostalim objektima pomorske/ obalne infrastrukture.</w:t>
      </w:r>
    </w:p>
    <w:p w14:paraId="2C8D8FB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2)           Za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čam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ce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registrovane za javni prevoz putnika (obavljanje privredne djelatnosti prevoza putnika), u teritorijalnim vodama Crne Gore,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 visina naknade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 pristajanje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u lukama od lokalnog značaja, na pristaništima i ostalim objektima pomorske/ obalne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lastRenderedPageBreak/>
        <w:t xml:space="preserve">infrastrukture u iznosu od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0,50 €/m¹ - za plovila dužine do 10 m¹. a za plovila dužine preko 10 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, za svaki naredni m¹, 0,40 €/m¹</w:t>
      </w:r>
    </w:p>
    <w:p w14:paraId="4DCF004C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3)           Za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plovne objekte registrovane za obavljanje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velikog privrednog ribolova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, utvrđuje se maksimalna visina naknade za pristajanje u lukama od lokalnog značaja, na pristaništima i ostalim objektima pomorske/ obaln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infrastrukture u iznosu od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0,40 €/m¹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za plovila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10 m¹,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a za plovila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preko 10 m¹,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svaki naredni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m¹, 0,30 €/m¹.</w:t>
      </w:r>
    </w:p>
    <w:p w14:paraId="194B52E1" w14:textId="77777777" w:rsidR="00446F54" w:rsidRDefault="00446F54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9B75175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4)</w:t>
      </w:r>
      <w:r w:rsidRPr="00C25D34"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  <w:t xml:space="preserve"> 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plovila na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solarni pogon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prevoz putnika-katamarani na solarni pogon u teritorijalnim vodama Crne Gore utvrđuje se u iznosu od 0,30€/m¹ za plovila dužine do 10m¹, a za plovila dužine preko 10m¹- 0,20€/m¹.</w:t>
      </w:r>
    </w:p>
    <w:p w14:paraId="08BCFFE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5)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           Za pristajanje svih ostalih plovila, naknada se određuje u skladu sa tržišnim principima poslovanja koncesionara, zakupca – operatera luk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/ pristaništa i sl. </w:t>
      </w:r>
    </w:p>
    <w:p w14:paraId="55B1E0E9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40E39FD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II    VEZIVANJE</w:t>
      </w:r>
    </w:p>
    <w:p w14:paraId="50D3759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Prilikom odobravanja iznosa naknade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(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čl. 9, tačka 10) Zakona o lukama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(Sl.list CG, 51/8; 40/11; 27/13)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, za usluge veza plovila u lukama od lokalnog značaja i na ostalim objektima obalne infrastrukture, Javno preduzeće za upravljanje morskim dobrom Cr</w:t>
      </w:r>
      <w:r w:rsidR="004B444F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ne Gore, primjenjivaće sledeće:</w:t>
      </w:r>
    </w:p>
    <w:p w14:paraId="5B5374D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Kriterijume </w:t>
      </w:r>
    </w:p>
    <w:p w14:paraId="2BB6BC3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a) Namjena - karakter (vrsta) plovila</w:t>
      </w:r>
    </w:p>
    <w:p w14:paraId="1C5F6ED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Dužina / kapacitet plovila</w:t>
      </w:r>
    </w:p>
    <w:p w14:paraId="142BCDF4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Kategorija objekta obalne infrastrukture </w:t>
      </w:r>
    </w:p>
    <w:p w14:paraId="6F88C4AE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d) Opremljenost objekta i nivo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organizacije servisa u luci od lokalnog značaja, privezištu i drugim objektima obalne infrastrukture</w:t>
      </w:r>
    </w:p>
    <w:p w14:paraId="6CEE4C8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e) Sigurnost i bezbijednost </w:t>
      </w:r>
    </w:p>
    <w:p w14:paraId="0CF9F677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f) Dostupnost</w:t>
      </w:r>
    </w:p>
    <w:p w14:paraId="6C70E19C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Namjena - karakter (vrsta) plovila, se odnosi na vrstu saobraćaja za koju je plovilo registrovano.</w:t>
      </w:r>
    </w:p>
    <w:p w14:paraId="418C083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 ili kapacitet plovila, se odnosi na prostor i servise koje plovilo koristi u luci, privezištu i sl., na vezu.</w:t>
      </w:r>
    </w:p>
    <w:p w14:paraId="34243193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Kategorija objekta, se odnosi na vrstu prihvatnog objekta tj.luka od lokalnog značaja ili ostalih objekata obalne infrastrukture.</w:t>
      </w:r>
    </w:p>
    <w:p w14:paraId="6B8E9716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 objekta i nivo organizacije servisa, podrazumijeva sadržaje i nivo kvaliteta usluga koji su na raspolaganju korisniku u luci / objektu obalne infrastrukture.</w:t>
      </w:r>
    </w:p>
    <w:p w14:paraId="58471A28" w14:textId="77777777" w:rsidR="00D62EF3" w:rsidRDefault="00D62EF3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3AC3516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Sigurnost i bezbijednost se odnose na obezbijeđenu tehničku pouzdanost i bezbjednost veza.</w:t>
      </w:r>
    </w:p>
    <w:p w14:paraId="7217240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Dostupnost se odnosi na položaj luke od lokalnog značaja / objekta obalne infrastrukture,  u naselju i širem prostoru i povezanost sa saobraćajnom infrastrukturom na kopnu. </w:t>
      </w:r>
    </w:p>
    <w:p w14:paraId="7CCDF62F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046A5A98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 naknade</w:t>
      </w:r>
    </w:p>
    <w:p w14:paraId="7F2233E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 za plovila registrovana za sport i rekreaciju</w:t>
      </w:r>
    </w:p>
    <w:p w14:paraId="5E2D6DEB" w14:textId="77777777" w:rsidR="00F64626" w:rsidRPr="00C25D34" w:rsidRDefault="00F64626" w:rsidP="00F64626">
      <w:pPr>
        <w:numPr>
          <w:ilvl w:val="0"/>
          <w:numId w:val="3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400 eura godišnje.</w:t>
      </w:r>
    </w:p>
    <w:p w14:paraId="0FDEC44A" w14:textId="77777777" w:rsidR="00F64626" w:rsidRPr="00C25D34" w:rsidRDefault="00F64626" w:rsidP="00F64626">
      <w:pPr>
        <w:numPr>
          <w:ilvl w:val="1"/>
          <w:numId w:val="4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ce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5m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rekeaciju, i koriste komunalni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vez, utvrdjuje se maksimalna visina naknade za vez u lukama od lokalnog značaja i na ostalim objektima obalne infrastrukture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 250 eura godišnje.</w:t>
      </w:r>
    </w:p>
    <w:p w14:paraId="701CFE48" w14:textId="77777777" w:rsidR="00F64626" w:rsidRPr="00C25D34" w:rsidRDefault="00F64626" w:rsidP="00F64626">
      <w:pPr>
        <w:numPr>
          <w:ilvl w:val="1"/>
          <w:numId w:val="4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ce dužine do 7m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odnosno do 5m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izrađen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 od drveta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 koji posjeduju zbirku isprava i registrovani su za sport i rekreaciju, i koriste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komunalni vez, utvrdjuje se maksimalna visina naknade za vez u lukama od lokalnog značaja i na ostalim objektima obalne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infrastrukture,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u iznosu 50%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odnosu na vrijednosti utv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rđene u tački 1) i podtački a) ovog poglavlja.</w:t>
      </w:r>
    </w:p>
    <w:p w14:paraId="2354013A" w14:textId="77777777" w:rsidR="00F64626" w:rsidRPr="00387506" w:rsidRDefault="00F64626" w:rsidP="00387506">
      <w:pPr>
        <w:numPr>
          <w:ilvl w:val="0"/>
          <w:numId w:val="4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 xml:space="preserve">Za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brodice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</w:t>
      </w:r>
      <w:r w:rsidR="00387506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simalna visina naknade za vez u</w:t>
      </w:r>
      <w:r w:rsid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lukama</w:t>
      </w:r>
      <w:r w:rsidRPr="00387506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3875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3875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600 eura godišnje.</w:t>
      </w:r>
    </w:p>
    <w:p w14:paraId="68BFC54A" w14:textId="77777777" w:rsidR="00F64626" w:rsidRPr="00C25D34" w:rsidRDefault="00F64626" w:rsidP="00F64626">
      <w:pPr>
        <w:numPr>
          <w:ilvl w:val="0"/>
          <w:numId w:val="4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 plovila dužine preko 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a do 15BT, koja posjeduju zbirku isprava i registrovani su za sport i rekreaciju i koriste komunalni vez, utvrđuje se maksimalna visina naknade za vez u lukama od lokalnog značaja i na ostalim objektima obalne infrastrukture do 800 eura godišnje.”</w:t>
      </w:r>
    </w:p>
    <w:p w14:paraId="2000A311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537C8E54" w14:textId="77777777" w:rsidR="00F64626" w:rsidRPr="00C25D34" w:rsidRDefault="0038750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 za plovila regist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rovana za obavljanje privredne djelatnosti</w:t>
      </w:r>
    </w:p>
    <w:p w14:paraId="6C6D0D7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EAAB672" w14:textId="77777777" w:rsidR="00F64626" w:rsidRPr="00C25D34" w:rsidRDefault="00F64626" w:rsidP="00F64626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600 eura godišnje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prevoz putnika i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480 eura godišnje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mali privredni ribolov.</w:t>
      </w:r>
    </w:p>
    <w:p w14:paraId="66260502" w14:textId="77777777" w:rsidR="004B444F" w:rsidRPr="00E957CE" w:rsidRDefault="00F64626" w:rsidP="00F64626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brodice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7 - 12m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koja je su registrovana za obavljanje privredne djelatnosti (prevoz putnika ili ribarenje)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</w:t>
      </w:r>
    </w:p>
    <w:p w14:paraId="5B9B1682" w14:textId="77777777" w:rsidR="00F64626" w:rsidRPr="00C25D34" w:rsidRDefault="00F64626" w:rsidP="004B444F">
      <w:pPr>
        <w:autoSpaceDE w:val="0"/>
        <w:autoSpaceDN w:val="0"/>
        <w:spacing w:after="120" w:line="240" w:lineRule="auto"/>
        <w:ind w:left="720"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infrast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rukture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1200 eura godišnje,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za brodice registrovane za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 putnika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1000 eura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godišnje za brodice registrovane 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mali privredni ribolov. </w:t>
      </w:r>
    </w:p>
    <w:p w14:paraId="67BB71EF" w14:textId="77777777" w:rsidR="00F64626" w:rsidRPr="00C25D34" w:rsidRDefault="00F64626" w:rsidP="00F64626">
      <w:pPr>
        <w:numPr>
          <w:ilvl w:val="0"/>
          <w:numId w:val="5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 objekte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 preko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1200 eura godišnje plus 150 eura za svaki m1 preko 12 m1 za brodove registrovane za prevoz putnika i 1000 eura godišnje plus 100 eura za svaki m1 preko 12 m1 za brodove registrovane za veliki ribolov .</w:t>
      </w:r>
    </w:p>
    <w:p w14:paraId="1D0ECF91" w14:textId="77777777" w:rsidR="00F64626" w:rsidRPr="00C25D34" w:rsidRDefault="00F64626" w:rsidP="00F64626">
      <w:pPr>
        <w:numPr>
          <w:ilvl w:val="0"/>
          <w:numId w:val="5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katamarane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i/ili plovila na solarni pogon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cijena uvećava za 50% u odnosu na ostala plovila iste dužine.</w:t>
      </w:r>
    </w:p>
    <w:p w14:paraId="5C3DBD2C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78F3679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III POJEDINAČNI VEZ </w:t>
      </w:r>
    </w:p>
    <w:p w14:paraId="5C29929A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Pojedinačni vez za plovila registrovana za sport i rekreaciju</w:t>
      </w:r>
    </w:p>
    <w:p w14:paraId="41EA053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</w:p>
    <w:p w14:paraId="49D6348B" w14:textId="77777777" w:rsidR="00F64626" w:rsidRPr="00C25D34" w:rsidRDefault="00F64626" w:rsidP="00F64626">
      <w:pPr>
        <w:numPr>
          <w:ilvl w:val="0"/>
          <w:numId w:val="6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lukama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200 eura godišnje.</w:t>
      </w:r>
    </w:p>
    <w:p w14:paraId="39AA891F" w14:textId="77777777" w:rsidR="005F238D" w:rsidRPr="005F238D" w:rsidRDefault="00F64626" w:rsidP="00F64626">
      <w:pPr>
        <w:numPr>
          <w:ilvl w:val="0"/>
          <w:numId w:val="6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brodice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od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7-12m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za vez u </w:t>
      </w:r>
    </w:p>
    <w:p w14:paraId="5E5B2ED2" w14:textId="77777777" w:rsidR="00F64626" w:rsidRPr="005F238D" w:rsidRDefault="00F64626" w:rsidP="005F238D">
      <w:pPr>
        <w:autoSpaceDE w:val="0"/>
        <w:autoSpaceDN w:val="0"/>
        <w:spacing w:after="120" w:line="240" w:lineRule="auto"/>
        <w:ind w:left="502"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lukama</w:t>
      </w:r>
      <w:r w:rsidRPr="005F238D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</w:t>
      </w:r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5F238D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5F238D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350 eura godišnje.</w:t>
      </w:r>
    </w:p>
    <w:p w14:paraId="6B200FD8" w14:textId="77777777" w:rsidR="00F64626" w:rsidRPr="00C25D34" w:rsidRDefault="00F64626" w:rsidP="00F64626">
      <w:pPr>
        <w:numPr>
          <w:ilvl w:val="0"/>
          <w:numId w:val="6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plovila dužine preko 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 koja posjeduju zbirku isprava i registrovani su za sport i rekreaciju i koriste komunalni vez, utvrđuje se maksimalna visina naknade za vez u lukama od lokalnog značaja i na ostalim objektima obalne infrastrukture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350 eura godišnje plus 150 eura za svaki 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preko 12 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.</w:t>
      </w:r>
    </w:p>
    <w:p w14:paraId="480CBE5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BEEE69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Pojedinačni vez za plovila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registerovana za obavljanje privredne djelatnosti</w:t>
      </w:r>
    </w:p>
    <w:p w14:paraId="07115101" w14:textId="77777777" w:rsidR="00F64626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3E5D4989" w14:textId="77777777" w:rsidR="00F64626" w:rsidRPr="008E2F36" w:rsidRDefault="00F64626" w:rsidP="008E2F36">
      <w:pPr>
        <w:numPr>
          <w:ilvl w:val="0"/>
          <w:numId w:val="7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 dužine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utvrđuje se maksimalna visina naknade </w:t>
      </w:r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za vez u lukama </w:t>
      </w:r>
      <w:r w:rsidRPr="008E2F36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od lokalnog značaja i na ostalim objektima obalne infrastrukture </w:t>
      </w:r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8E2F3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220 </w:t>
      </w:r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lastRenderedPageBreak/>
        <w:t>eura godišnje</w:t>
      </w:r>
      <w:r w:rsidRPr="008E2F36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 xml:space="preserve"> za čamce registrovane za prevoz putnika i za čamce registrovane za mali privredni ribolov.</w:t>
      </w:r>
    </w:p>
    <w:p w14:paraId="1BDAF320" w14:textId="77777777" w:rsidR="00F64626" w:rsidRPr="00E61F59" w:rsidRDefault="00F64626" w:rsidP="00F64626">
      <w:pPr>
        <w:numPr>
          <w:ilvl w:val="0"/>
          <w:numId w:val="7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Za brodice dužine 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od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>7 - 12m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 xml:space="preserve"> koja je su registrovana za obavljanje privredne djelatnosti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(prevoz putnika ili ribarenje)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rukture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do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370 eura godišnje,</w:t>
      </w:r>
      <w:r w:rsidRPr="00C25D34"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brodice registrovane za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prevoz putnika i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brodice registrovane za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mali privredni ribolov. </w:t>
      </w:r>
    </w:p>
    <w:p w14:paraId="39ADCABF" w14:textId="77777777" w:rsidR="00F64626" w:rsidRPr="00C25D34" w:rsidRDefault="00F64626" w:rsidP="00F64626">
      <w:pPr>
        <w:numPr>
          <w:ilvl w:val="0"/>
          <w:numId w:val="7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 objekte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 preko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12m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koji su registrovani za obavljanje privredne djelatnosti (prevoz putnika ili ribarenje)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vez,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eastAsia="sr-Latn-ME"/>
        </w:rPr>
        <w:t>utvrđuje se maksimalna visina naknade za vez u lukama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od lokalnog značaja i na ostalim objektima obalne infrastrukture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370 eura godišnje plus 20 eura za svaki m1 preko 12 m1.</w:t>
      </w:r>
    </w:p>
    <w:p w14:paraId="5B47DD1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6EF9EE82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SIDRENJE</w:t>
      </w:r>
    </w:p>
    <w:p w14:paraId="053FD6AF" w14:textId="77777777" w:rsidR="00F64626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 plovila registrovana za sport i rekreaciju</w:t>
      </w:r>
    </w:p>
    <w:p w14:paraId="7D1BA8F3" w14:textId="77777777" w:rsidR="00F64626" w:rsidRPr="00C25D34" w:rsidRDefault="00F64626" w:rsidP="00F64626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 dužine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koji posjeduju zbirku isprava i registrovani su za sport i rekreaciju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 150 eura godišnje.</w:t>
      </w:r>
    </w:p>
    <w:p w14:paraId="292D6704" w14:textId="77777777" w:rsidR="00F64626" w:rsidRPr="00C25D34" w:rsidRDefault="00F64626" w:rsidP="00F64626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brodice dužine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od 7-12m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koje posjeduju zbirku isprava i registrovani su za sport i rekreaciju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 300 eura godišnje.</w:t>
      </w:r>
    </w:p>
    <w:p w14:paraId="4DD5DE4B" w14:textId="77777777" w:rsidR="00F64626" w:rsidRPr="00C25D34" w:rsidRDefault="00F64626" w:rsidP="00F64626">
      <w:pPr>
        <w:numPr>
          <w:ilvl w:val="0"/>
          <w:numId w:val="8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 dužine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koja posjeduju zbirku isprava i registrovani su za sport i rekreaciju i koriste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komunalni vez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utvrđuje se maksimalna visina naknade za sidrenje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300 eura godišnje plus 10 eura za svaki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preko 12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20BDB4EC" w14:textId="77777777" w:rsidR="00F64626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 plovila registerovana za obavljanje privredne djelatnosti</w:t>
      </w:r>
    </w:p>
    <w:p w14:paraId="28D274C3" w14:textId="77777777" w:rsidR="00F64626" w:rsidRPr="00C25D34" w:rsidRDefault="00F64626" w:rsidP="00F64626">
      <w:pPr>
        <w:numPr>
          <w:ilvl w:val="0"/>
          <w:numId w:val="9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plovila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do 12m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n-US" w:eastAsia="sr-Latn-ME"/>
        </w:rPr>
        <w:t>koja je su registrovana za obavljanje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sr-Latn-ME"/>
        </w:rPr>
        <w:t xml:space="preserve"> privredne djelatnosti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(prevoz putnika ili mali privredni ribolov)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 koriste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komunalni vez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do 400 eura godišnje. </w:t>
      </w:r>
    </w:p>
    <w:p w14:paraId="2CD62B11" w14:textId="77777777" w:rsidR="00F64626" w:rsidRPr="00C25D34" w:rsidRDefault="00F64626" w:rsidP="00F64626">
      <w:pPr>
        <w:numPr>
          <w:ilvl w:val="0"/>
          <w:numId w:val="9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plovne objekte dužine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 su registrovani za obavljanje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privredne djelatnosti (prevoz putnika ili veliki privredni ribolov)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 koriste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komunalni vez,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za sidrenje do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400 eura godišnje plus 10 eura za svaki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preko 12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2F3EF6EE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D93D471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USLUGA UPOTREBE DIZALICE/NAVOZA</w:t>
      </w:r>
    </w:p>
    <w:p w14:paraId="4B49AD9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64948E8E" w14:textId="77777777" w:rsidR="00F64626" w:rsidRPr="00C25D34" w:rsidRDefault="00F64626" w:rsidP="00F64626">
      <w:pPr>
        <w:numPr>
          <w:ilvl w:val="0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čamc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e dužine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do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 vršenju operacije (spuštanje/izvlačenje plovila) u iznosu od 5 eura po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plovila.</w:t>
      </w:r>
    </w:p>
    <w:p w14:paraId="322DD998" w14:textId="77777777" w:rsidR="00F64626" w:rsidRPr="00C25D34" w:rsidRDefault="00F64626" w:rsidP="00F64626">
      <w:pPr>
        <w:numPr>
          <w:ilvl w:val="0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brodice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od 7m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-12m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 vršenju operacije (spuštanje/izvlačenje plovila) u iznosu od 7 eura po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plovila.</w:t>
      </w:r>
    </w:p>
    <w:p w14:paraId="2401674D" w14:textId="77777777" w:rsidR="00F64626" w:rsidRDefault="00F64626" w:rsidP="00F64626">
      <w:pPr>
        <w:numPr>
          <w:ilvl w:val="0"/>
          <w:numId w:val="10"/>
        </w:num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korišćenje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dizalice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plovila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dužine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preko 12m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US" w:eastAsia="sr-Latn-ME"/>
        </w:rPr>
        <w:t>1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utvrđuje se maksimalna visina naknade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 vršenju operacije (spuštanje/izvlačenje plovila) u iznosu od 10 eura po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plovila.</w:t>
      </w:r>
    </w:p>
    <w:p w14:paraId="64E4A899" w14:textId="77777777" w:rsidR="00F64626" w:rsidRDefault="00F64626" w:rsidP="00F64626">
      <w:pPr>
        <w:numPr>
          <w:ilvl w:val="0"/>
          <w:numId w:val="10"/>
        </w:num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korišćenje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navoza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određuje se maksimalna visina naknade po vršenju operacije (spuštanje/izvlačenje plovila) umanjena za 20% u odnosu na korišćenje dizalice, izraženo kroz tačke 1), 2) i 3) po m</w:t>
      </w:r>
      <w:r w:rsidRPr="00C25D34">
        <w:rPr>
          <w:rFonts w:ascii="Times New Roman" w:eastAsia="Calibri" w:hAnsi="Times New Roman" w:cs="Times New Roman"/>
          <w:sz w:val="24"/>
          <w:szCs w:val="24"/>
          <w:vertAlign w:val="superscript"/>
          <w:lang w:val="en-US" w:eastAsia="sr-Latn-ME"/>
        </w:rPr>
        <w:t xml:space="preserve">1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plovila.</w:t>
      </w:r>
    </w:p>
    <w:p w14:paraId="3324D531" w14:textId="77777777" w:rsidR="00446F54" w:rsidRDefault="00446F54" w:rsidP="00446F54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271389F3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  <w:t xml:space="preserve">     </w:t>
      </w:r>
    </w:p>
    <w:p w14:paraId="339FFE41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bookmarkStart w:id="0" w:name="_Hlk957963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Imajući u vidu Kriterijume razrađene kroz poglavlja I, II, III i IV visina naknade </w:t>
      </w:r>
      <w:bookmarkEnd w:id="0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 ostala plovila, visina nakn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ade za korišćenje veza u lukama od lokalnog značaja, privezištima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drugim objektima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 xml:space="preserve">obalne infrastrukture,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uređenim i opremljenim sidrištima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označenim a neuređenim sidrištima,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određivaće se 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u skladu sa tržišnim principima poslovanja </w:t>
      </w:r>
      <w:r w:rsidRPr="00E61F59">
        <w:rPr>
          <w:rFonts w:ascii="Times New Roman" w:eastAsia="Calibri" w:hAnsi="Times New Roman" w:cs="Times New Roman"/>
          <w:sz w:val="24"/>
          <w:szCs w:val="24"/>
          <w:lang w:eastAsia="sr-Latn-ME"/>
        </w:rPr>
        <w:t>koncesionara, zakupca – operatera.</w:t>
      </w:r>
    </w:p>
    <w:p w14:paraId="1BE9C853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en-US" w:eastAsia="sr-Latn-ME"/>
        </w:rPr>
      </w:pPr>
    </w:p>
    <w:p w14:paraId="72B6E148" w14:textId="77777777" w:rsidR="00E61F59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Vlasnik plovnog objekta čiji plovni objekat nije upisan u crnogorski registar plovila u mjesno nadležnoj Lučkoj kapetaniji-ispostavi, ne može biti korisnik komunalnog veza. Takođe, vlasnik </w:t>
      </w:r>
    </w:p>
    <w:p w14:paraId="6CED6BC8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 objekta mora imati prebivalište najmanje 10 godina na području opštine u kojoj želi da ostvari pravo na komunalni vez.</w:t>
      </w:r>
    </w:p>
    <w:p w14:paraId="6B4CD5C2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7DB1684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Izabrani ponuđač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/korisnik pristaništa/privezišta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je dužan:</w:t>
      </w:r>
    </w:p>
    <w:p w14:paraId="19FABF9E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95D70E" w14:textId="77777777" w:rsidR="00E957CE" w:rsidRDefault="00F64626" w:rsidP="00D62EF3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navedenih Izmjena i dopuna Kriterijuma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 i vez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 na ostalim objektima obalne infrastrukture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koji su usvojeni od strane Upravnog odbora Javnog preduzeća broj:0203-638/6-1 od  15.02.2019.godine, </w:t>
      </w:r>
    </w:p>
    <w:p w14:paraId="666818F0" w14:textId="77777777" w:rsidR="00F64626" w:rsidRPr="00C25D34" w:rsidRDefault="00F64626" w:rsidP="00F64626">
      <w:pPr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Uslova za opremanje i održavanje reda na pristaništu/privezištu koje izdaje Javno preduzeće za upravljanje morskim dobrom, </w:t>
      </w:r>
    </w:p>
    <w:p w14:paraId="42919BC2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prije početka obavljanja djelatnosti dostaviti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Cjenovnik usluga koji će odobriti Javno preduzeće za upravljanje  morskim dobrom na osnovu Izmjena i dopuna kriterijuma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 i vez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 na ostalim objektima obalne </w:t>
      </w:r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infrastrukture,</w:t>
      </w:r>
    </w:p>
    <w:p w14:paraId="671142E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FB70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 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Sadržaj prijave</w:t>
      </w:r>
    </w:p>
    <w:p w14:paraId="535DB36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 Prijava obavezno sadrži:</w:t>
      </w:r>
    </w:p>
    <w:p w14:paraId="4CB950A9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Podatke o ponuđaču i dokaze o podobnosti ponuđača: </w:t>
      </w:r>
    </w:p>
    <w:p w14:paraId="7C584B1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6.1.1.Za fizička lica:</w:t>
      </w:r>
    </w:p>
    <w:p w14:paraId="6245C08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Ime i prezime ponuđača sa adresom prebivališta, odnosno boravišta i brojem kontakt telefona,  Izjavu o prihvatanju svih uslova i obaveza iz Javnog poziva, kao i izjavu-saglasnost da se lični podaci obrađuju u postupku, odnosno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Obrazac A Javnog preduzeća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8F872D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fotokopija lične karte/pasoša sa jedinstvenim matičnim brojem,  </w:t>
      </w:r>
    </w:p>
    <w:p w14:paraId="5E5A232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 Poreske uprave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da su uredno izvr</w:t>
      </w:r>
      <w:r w:rsidRPr="00C25D34">
        <w:rPr>
          <w:rFonts w:ascii="Times New Roman" w:eastAsia="Calibri" w:hAnsi="Times New Roman" w:cs="Times New Roman"/>
          <w:sz w:val="24"/>
          <w:szCs w:val="24"/>
        </w:rPr>
        <w:t>š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 sve obaveze po osnovu pla</w:t>
      </w:r>
      <w:r w:rsidRPr="00C25D34">
        <w:rPr>
          <w:rFonts w:ascii="Times New Roman" w:eastAsia="Calibri" w:hAnsi="Times New Roman" w:cs="Times New Roman"/>
          <w:sz w:val="24"/>
          <w:szCs w:val="24"/>
        </w:rPr>
        <w:t>ć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 poreza i doprinosa za period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sprovođenja aukcije (licitacije),</w:t>
      </w:r>
    </w:p>
    <w:p w14:paraId="43037DD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uvjerenje mjesno nadležnog Osnovnog suda da  se protiv ponuđača ne vodi krivični postupak,</w:t>
      </w:r>
    </w:p>
    <w:p w14:paraId="77FF5F7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6.1.2. Za privredna društva, pravna lica ili preduzetnike</w:t>
      </w:r>
      <w:r w:rsidRPr="00C25D3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AFD770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-Naziv  i adresu sjedišta, Izjavu o prihvatanju svih uslova i obaveza iz Javnog poziva, kao i izjavu-saglasnost da se lični podaci obrađuju u postupku, odnosno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Obrazac A Javnog preduzeća; </w:t>
      </w:r>
    </w:p>
    <w:p w14:paraId="08CCF116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dokaz o registraciji (Izvod iz CRPS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sa podacima o ovlašćenim licima ponuđača </w:t>
      </w:r>
      <w:r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ne stariji od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6 </w:t>
      </w:r>
      <w:r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mjeseci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>),</w:t>
      </w:r>
    </w:p>
    <w:p w14:paraId="394997C8" w14:textId="77777777" w:rsidR="00446F5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-rješenje o PIB pravnog lica/preduzetnika, </w:t>
      </w:r>
    </w:p>
    <w:p w14:paraId="5750B5BC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4E58E49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uvjerenje mjesno nadležnog Osnovnog suda da  se protiv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privrednog društva, pravnog lica </w:t>
      </w:r>
      <w:r w:rsidRPr="00C25D34">
        <w:rPr>
          <w:rFonts w:ascii="Times New Roman" w:eastAsia="Calibri" w:hAnsi="Times New Roman" w:cs="Times New Roman"/>
          <w:sz w:val="24"/>
          <w:szCs w:val="24"/>
        </w:rPr>
        <w:t>i odgovornog lica u pravnom licu ne vodi krivični postupak,</w:t>
      </w:r>
    </w:p>
    <w:p w14:paraId="4346089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lastRenderedPageBreak/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kaznenoj  evidenciji </w:t>
      </w:r>
      <w:r w:rsidRPr="00C25D34">
        <w:rPr>
          <w:rFonts w:ascii="Times New Roman" w:eastAsia="Calibri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70C34D6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u kaznenoj </w:t>
      </w:r>
      <w:r w:rsidRPr="00C25D34">
        <w:rPr>
          <w:rFonts w:ascii="Times New Roman" w:eastAsia="Calibri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0F7C96F9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 Poreske uprave da su uredno izvr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š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 sve obaveze po osnovu pla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 poreza i doprinosa za period do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8975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Ukoliko je ponuđač strano pravno lice dokumentaciju iz tačke 6.1.2 alineje 2, 3, 4, 5, 6 i 7. izdatu od nadležnog organa iz države u kojoj je osnovano društvo, dužan je dostaviti prevedenu na crnogorski jezik, ovjerenu od strane sudskog tumača.</w:t>
      </w:r>
    </w:p>
    <w:p w14:paraId="79939A8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6.2.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Originalnu bankarsku garanciju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minimum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9B514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Iznos bankarske garancije ne može biti manji od visine početne cijene zakupnine/naknade za korišćenje morskog dobra određene Javnim pozivom. </w:t>
      </w:r>
    </w:p>
    <w:p w14:paraId="17891756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6.3.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  <w:t>Naznaku za koje pristanište se podnosi prijava.</w:t>
      </w:r>
    </w:p>
    <w:p w14:paraId="0151073A" w14:textId="77777777" w:rsidR="00F64626" w:rsidRDefault="00D80DA5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6.4. Ponude se dostavljaju na c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rnogorskom jeziku.</w:t>
      </w:r>
    </w:p>
    <w:p w14:paraId="1C8EEC6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6.5.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Potrebni dokazi (osim fotokopije lične karte) dostavljaju se u formi originala ili ovjerene fotokopije. Dokazi ne smiju da budu stariji od šest mjeseci od dana sprovođenja aukcije, osim Rješenja o registraciji PDV-a i druga odobrenja nadležnih organa u zavisnosti od perioda važenja.</w:t>
      </w:r>
    </w:p>
    <w:p w14:paraId="320FE4F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VII Sprovođenje postupka:</w:t>
      </w:r>
    </w:p>
    <w:p w14:paraId="26CFA9E4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sačinjava i podnosi prijavu  u skladu sa Javnim pozivom. </w:t>
      </w:r>
    </w:p>
    <w:p w14:paraId="07B55C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Rok važenja prijava je 90 dana od 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BC5CB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može u roku za dostavljanje prijava, da istu mijenja i dopunjava ili da u pisanoj formi odustane od prijave.</w:t>
      </w:r>
    </w:p>
    <w:p w14:paraId="7C3DA6A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Promjena i dopuna prijave  ili odustajanje od prijave ponuđač dostavlja na isti način kao i prijavu. </w:t>
      </w:r>
    </w:p>
    <w:p w14:paraId="642FC98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14:paraId="18535753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 slučaju odustanka od prijave prije isteka roka određenog za dostavljanje prijave/odnosno otvaranja prijave  ista se vraća ponuđaču neotvorena.</w:t>
      </w:r>
    </w:p>
    <w:p w14:paraId="5049DABA" w14:textId="77777777" w:rsidR="008E2F36" w:rsidRPr="00C25D34" w:rsidRDefault="008E2F3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8E7AA" w14:textId="77777777" w:rsidR="00446F5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7.3. Prijava se dostavlja u roku određenom Javnim pozivom u zatvorenim kovertama 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postom ili neposrednom preda</w:t>
      </w:r>
      <w:r w:rsid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jom na arhivi Javnog  preduzeća.</w:t>
      </w:r>
    </w:p>
    <w:p w14:paraId="39BC33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 koje su primljene nakon isteka Javnim pozivom određenog roka odbijaju se kao neblagovremene i vraćaju se neotvorene ponuđaču, konačnom odlukom.</w:t>
      </w:r>
    </w:p>
    <w:p w14:paraId="040838C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  fizičkih ili pravnih lica (ranijih korisnika) se odbijaju kao neprihvatljive i neće biti predmet vrednovanja, ukoliko je:</w:t>
      </w:r>
    </w:p>
    <w:p w14:paraId="4A77328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-protiv ponuđača (ranijeg korisnika)  Javno preduzeće pokrenulo sudski postupak zbog neispunjavanja ugovorenih obaveza,</w:t>
      </w:r>
    </w:p>
    <w:p w14:paraId="59D9AD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-sa ponuđačem (ranijim korisnikom) Javno preduzeće raskinulo  ugovor zbog teže povrede ugovorne obaveze </w:t>
      </w:r>
    </w:p>
    <w:p w14:paraId="0EF3EFE5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7.4.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Postupak davanja u zakup sprovode Tenderske komisije koje imenuje Direktor Javnog preduzeća.</w:t>
      </w:r>
    </w:p>
    <w:p w14:paraId="3F46CDC7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Tenderska komisija u postupku javnog nadmetanja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14:paraId="1A511D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Nezatvorene (neuredne) prijave  odbijaju se kao nevažeće i u stanju u kojem su uručene biće vraćene ponuđaču, nakon okončanja postupka .</w:t>
      </w:r>
    </w:p>
    <w:p w14:paraId="34F38792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Neispravna je ponuda koja nije sačinjena u skladu sa uslovima Javnog poziva. </w:t>
      </w:r>
    </w:p>
    <w:p w14:paraId="7DA4AF2C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E1219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VIII Način, vrijeme i mjesto podnošenja prijava </w:t>
      </w:r>
    </w:p>
    <w:p w14:paraId="24D2B2BD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14:paraId="421FD36D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14:paraId="59FEE379" w14:textId="77777777" w:rsidR="00F64626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14:paraId="226981DC" w14:textId="77777777" w:rsidR="00D62EF3" w:rsidRPr="00C25D34" w:rsidRDefault="00D62EF3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44A793C9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 omotu prijave navodi se: naziv/ime i prezime ponuđača, broj javnog poziva, broj lokacije iz javnog poziva za koju se dostavlja i na koju se odnosi prijava.</w:t>
      </w:r>
    </w:p>
    <w:p w14:paraId="6BDD6F11" w14:textId="0910843A" w:rsidR="004B444F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Prijave za javno nadmeta</w:t>
      </w:r>
      <w:r w:rsidR="004B444F"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nje (aukciju) dostavljaju se poš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tom ili neposrednom predajom na arhivi Javnog  preduzeća svakog radnog dana </w:t>
      </w:r>
      <w:r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od </w:t>
      </w:r>
      <w:r w:rsidR="00446F54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0</w:t>
      </w:r>
      <w:r w:rsidR="008E2F36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9</w:t>
      </w:r>
      <w:r w:rsidR="00446F54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.00</w:t>
      </w:r>
      <w:r w:rsidR="00D80DA5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do 1</w:t>
      </w:r>
      <w:r w:rsidR="008E2F36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5</w:t>
      </w:r>
      <w:r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.00 casova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od dana objavljivanja ovog poziva,  (izuzev od 11.30 do 12.00h) u zapečaćenim kovertama sa naznakom „PRIJAVA ZA JAVNO NADMETANJE PO POZIVU BROJ ____, RED.BR.____ U OPŠTINI 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______“, najkasnije 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BD4BE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A0B0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62EF3" w:rsidRPr="00C039D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BD4BE9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256AC0" w:rsidRPr="00C039D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</w:rPr>
        <w:t>2021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>god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 15.00 č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asova, do kada moraju biti dostavljene 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>i ponude koje su upućene poštom.</w:t>
      </w:r>
    </w:p>
    <w:p w14:paraId="28FAD258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Prijave dostavljene nakon navedenog roka (n</w:t>
      </w:r>
      <w:r w:rsidRPr="00C039DF">
        <w:rPr>
          <w:rFonts w:ascii="Times New Roman" w:eastAsia="Calibri" w:hAnsi="Times New Roman" w:cs="Times New Roman"/>
          <w:sz w:val="24"/>
          <w:szCs w:val="24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.</w:t>
      </w:r>
    </w:p>
    <w:p w14:paraId="3964347D" w14:textId="23167037" w:rsidR="00E957CE" w:rsidRPr="00C039DF" w:rsidRDefault="00F64626" w:rsidP="00343465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nb-NO"/>
        </w:rPr>
      </w:pPr>
      <w:r w:rsidRPr="00C039DF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Zainteresovanim ponuđačima ili njihovim ovlašćenim predstavnicima, Obrazac A se dostavlja e-mailom, na e-mail adresu  koju je naznačio zainteresovani ponuđač,  sa obavezom zainteresovanog ponuđača da potvrdi  prijem e-maila sa Obrascem A. Takodje, sve potrebne informacije, uvid u skice i uslove tendera mogu se ostvariti putem email adrese jpmdcg@t-com.me ili telefonskim putem  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na br.tel. 033/452-709 Služba za </w:t>
      </w:r>
      <w:r w:rsidR="00BD4BE9">
        <w:rPr>
          <w:rFonts w:ascii="Times New Roman" w:eastAsia="Calibri" w:hAnsi="Times New Roman" w:cs="Times New Roman"/>
          <w:b/>
          <w:sz w:val="24"/>
          <w:szCs w:val="24"/>
        </w:rPr>
        <w:t>ustupanje na korišćenje morskog dobra i upravljanje lukama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2A0B09">
        <w:rPr>
          <w:rFonts w:ascii="Times New Roman" w:eastAsia="Calibri" w:hAnsi="Times New Roman" w:cs="Times New Roman"/>
          <w:b/>
          <w:sz w:val="24"/>
          <w:szCs w:val="24"/>
          <w:lang w:val="sl-SI"/>
        </w:rPr>
        <w:t>zaključno sa </w:t>
      </w:r>
      <w:r w:rsidR="00BD4BE9">
        <w:rPr>
          <w:rFonts w:ascii="Times New Roman" w:eastAsia="Calibri" w:hAnsi="Times New Roman" w:cs="Times New Roman"/>
          <w:b/>
          <w:sz w:val="24"/>
          <w:szCs w:val="24"/>
          <w:lang w:val="sl-SI"/>
        </w:rPr>
        <w:t>1</w:t>
      </w:r>
      <w:r w:rsidR="002A0B09">
        <w:rPr>
          <w:rFonts w:ascii="Times New Roman" w:eastAsia="Calibri" w:hAnsi="Times New Roman" w:cs="Times New Roman"/>
          <w:b/>
          <w:sz w:val="24"/>
          <w:szCs w:val="24"/>
          <w:lang w:val="sl-SI"/>
        </w:rPr>
        <w:t>8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.</w:t>
      </w:r>
      <w:r w:rsidR="00D62EF3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0</w:t>
      </w:r>
      <w:r w:rsidR="00BD4BE9">
        <w:rPr>
          <w:rFonts w:ascii="Times New Roman" w:eastAsia="Calibri" w:hAnsi="Times New Roman" w:cs="Times New Roman"/>
          <w:b/>
          <w:sz w:val="24"/>
          <w:szCs w:val="24"/>
          <w:lang w:val="sl-SI"/>
        </w:rPr>
        <w:t>8</w:t>
      </w:r>
      <w:r w:rsidR="00256AC0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.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2021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.godine </w:t>
      </w:r>
      <w:r w:rsidR="00D80DA5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do 1</w:t>
      </w:r>
      <w:r w:rsidR="008E2F36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5</w:t>
      </w:r>
      <w:r w:rsidR="00D62EF3"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>h.</w:t>
      </w:r>
    </w:p>
    <w:p w14:paraId="543E73EE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IX Vrijeme i mjesto javnog nadmetanja</w:t>
      </w:r>
    </w:p>
    <w:p w14:paraId="7AF2471A" w14:textId="45F8A759" w:rsidR="00C25D34" w:rsidRPr="00C25D34" w:rsidRDefault="00C25D34" w:rsidP="00C039DF">
      <w:pPr>
        <w:spacing w:before="24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C039D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Javno nadmetanje </w:t>
      </w:r>
      <w:r w:rsidRPr="00C039DF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 i mjera tijela za   zarazne bolesti</w:t>
      </w:r>
      <w:r w:rsidRPr="00C039D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2A0B09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će se obaviti dana </w:t>
      </w:r>
      <w:r w:rsidR="002A0B09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18.08.</w:t>
      </w:r>
      <w:r w:rsidRPr="00C039DF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2021.god. u 10,00 časova</w:t>
      </w:r>
      <w:r w:rsidRPr="00C039D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C039DF">
        <w:rPr>
          <w:rFonts w:ascii="Times New Roman" w:hAnsi="Times New Roman" w:cs="Times New Roman"/>
          <w:b/>
          <w:sz w:val="24"/>
          <w:szCs w:val="24"/>
          <w:lang w:val="sl-SI"/>
        </w:rPr>
        <w:t xml:space="preserve">u Sali na prvom spratu poslovne zgrade Javnog </w:t>
      </w:r>
      <w:r w:rsidR="00E61F59" w:rsidRPr="00C039DF">
        <w:rPr>
          <w:rFonts w:ascii="Times New Roman" w:hAnsi="Times New Roman" w:cs="Times New Roman"/>
          <w:sz w:val="24"/>
          <w:szCs w:val="24"/>
          <w:lang w:val="sl-SI"/>
        </w:rPr>
        <w:t>preduzeća, uz poštovanje epidemioloških mjera.</w:t>
      </w:r>
    </w:p>
    <w:p w14:paraId="3B9EA1E3" w14:textId="77777777" w:rsidR="00F64626" w:rsidRPr="00C25D34" w:rsidRDefault="00F64626" w:rsidP="00C039D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Pravo učešća na nadmetanju imaju sva pravna i fizička lica koja blagovremeno dostave pisanu prijavu sa potrebnom dokumentacijom i uredno se registruju.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  <w:t xml:space="preserve"> </w:t>
      </w:r>
    </w:p>
    <w:p w14:paraId="4FB55B9A" w14:textId="77777777" w:rsidR="00E61F59" w:rsidRPr="00C25D34" w:rsidRDefault="00E61F59" w:rsidP="00C25D34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7B88107D" w14:textId="77777777" w:rsidR="00C25D34" w:rsidRPr="00C25D34" w:rsidRDefault="00C25D34" w:rsidP="00C039DF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C25D3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2DED7AAE" w14:textId="77777777" w:rsidR="00E957CE" w:rsidRPr="00C25D34" w:rsidRDefault="00E957CE" w:rsidP="00F64626">
      <w:pPr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</w:p>
    <w:p w14:paraId="0A88350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X Licitacioni korak</w:t>
      </w:r>
    </w:p>
    <w:p w14:paraId="266678BA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14:paraId="443239BB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5DDA3AF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XI Izbor najpovoljnijeg ponuđača</w:t>
      </w:r>
    </w:p>
    <w:p w14:paraId="32DD47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Učesnik koji ponudi najveći iznos naknade/zakupnine proglašava se za najpovoljnijeg ponuđača, a njegova ponuda smatra se prihvaćenom ponudom za zakup predmetne lokacije. Ponuđač koji ponudi najveći iznos zakupnine potpisuje </w:t>
      </w: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Izjavu 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kojom prihvata izlicitirani iznos, gdje se ujedno taksativno navodi redoslijed odustanka ponuđača i iznos na kom su ponuđači odustali. </w:t>
      </w:r>
    </w:p>
    <w:p w14:paraId="6E1ADA9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 završenom postupka aukcije/licitacije, ponuđači imaju pravo da ulože prigovor na sami tok postupka aukcije/licitacije. Prigovor ne odlaže aukciju, a o osnovanosti prigovora komisija odlučuje neposredno po njegovom iznošenju. Odluka po prigovoru je konačna.</w:t>
      </w:r>
    </w:p>
    <w:p w14:paraId="17402BD2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Najpovoljniji ponuđač je dužan da u roku od 10 (deset) dana od dana nadmetanja zaključi Ugovor o zakupu privremene lokacije</w:t>
      </w: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3DDD8D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 slučaju da se prvorangirani ponuđač povuče iz nadmetanja odnosno ukoliko ne potpiše ugovor u predviđenom roku aktiviraće se njegova garancija ponude, a Javno preduzeće će pozvati na zaključenje ugovora sledećeg rangiranog ponuđača u skladu sa redosledom plasmana ponuda.</w:t>
      </w:r>
    </w:p>
    <w:p w14:paraId="40D4FA9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 slučaju odustanka ili odbijanja svih rangiranih ponuđača da potpišu ugovor Tenderska komisija će javno nadmetanje-aukciju proglasiti neuspjelom.</w:t>
      </w:r>
    </w:p>
    <w:p w14:paraId="459D3836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Ponuđači koji nijesu izabrani mogu da preuzmu bankarske garancije ponude u roku od 8 (osam) dana od dana zaključenja ugovora sa najpovoljnijim ponuđačem.</w:t>
      </w:r>
    </w:p>
    <w:p w14:paraId="3B82378D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DE17" w14:textId="77777777" w:rsidR="00F64626" w:rsidRPr="00C25D34" w:rsidRDefault="00F64626" w:rsidP="00F64626">
      <w:pPr>
        <w:spacing w:after="12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 xml:space="preserve">XII Činidbena garancija </w:t>
      </w:r>
    </w:p>
    <w:p w14:paraId="62E9BEDE" w14:textId="77777777" w:rsidR="00F64626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14:paraId="3C4C326D" w14:textId="77777777" w:rsidR="00F12431" w:rsidRDefault="00F12431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74907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Isto se ne odnosi za </w:t>
      </w:r>
      <w:r w:rsidRPr="009137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period 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korišćenja lokaci</w:t>
      </w:r>
      <w:r w:rsidR="004B444F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je u </w:t>
      </w:r>
      <w:r w:rsidR="00C25D34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2021</w:t>
      </w:r>
      <w:r w:rsidR="004B444F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.godini, shodno Zaključc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ima</w:t>
      </w:r>
      <w:r w:rsidR="004B444F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Upravnog odbora Javnog preduzeć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a broj 0203-</w:t>
      </w:r>
      <w:r w:rsidR="000C688D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3096/4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od </w:t>
      </w:r>
      <w:r w:rsidR="000C688D"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29.12</w:t>
      </w:r>
      <w:r w:rsidRPr="000C688D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.2020.godine.</w:t>
      </w:r>
    </w:p>
    <w:p w14:paraId="2DF96BAF" w14:textId="77777777" w:rsidR="00F64626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4DFC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XIII</w:t>
      </w:r>
      <w:r w:rsidRPr="00C25D34">
        <w:rPr>
          <w:rFonts w:ascii="Times New Roman" w:eastAsia="Calibri" w:hAnsi="Times New Roman" w:cs="Times New Roman"/>
          <w:sz w:val="24"/>
          <w:szCs w:val="24"/>
        </w:rPr>
        <w:t>  Javni poziv objavljuje se u dnevnom listu „</w:t>
      </w:r>
      <w:r w:rsidR="00387506">
        <w:rPr>
          <w:rFonts w:ascii="Times New Roman" w:eastAsia="Calibri" w:hAnsi="Times New Roman" w:cs="Times New Roman"/>
          <w:sz w:val="24"/>
          <w:szCs w:val="24"/>
        </w:rPr>
        <w:t>Vijesti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“ i na internet stranici Javnog preduzeća </w:t>
      </w:r>
      <w:r w:rsidRPr="00C25D3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www. morskodobro.com </w:t>
      </w:r>
    </w:p>
    <w:p w14:paraId="5428DE62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EE82553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XIV  </w:t>
      </w:r>
      <w:r w:rsidRPr="00C25D34">
        <w:rPr>
          <w:rFonts w:ascii="Times New Roman" w:eastAsia="Calibri" w:hAnsi="Times New Roman" w:cs="Times New Roman"/>
          <w:sz w:val="24"/>
          <w:szCs w:val="24"/>
        </w:rPr>
        <w:t>Sve potrebne informacije mogu se dobiti na br.tel. 033/452-709 Služba za upravljanje lukama i pomorstvo</w:t>
      </w:r>
      <w:r w:rsidR="00CE26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ECC52E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5625C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46808" w14:textId="77777777" w:rsidR="00F64626" w:rsidRPr="00C25D34" w:rsidRDefault="00F64626" w:rsidP="00F64626">
      <w:pPr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F64626" w:rsidRPr="00C25D34" w:rsidSect="00F6462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6903A4C"/>
    <w:multiLevelType w:val="hybridMultilevel"/>
    <w:tmpl w:val="2FB0E526"/>
    <w:lvl w:ilvl="0" w:tplc="38EE7CB2">
      <w:start w:val="1"/>
      <w:numFmt w:val="decimal"/>
      <w:lvlText w:val="%1)"/>
      <w:lvlJc w:val="left"/>
      <w:pPr>
        <w:ind w:left="76" w:hanging="360"/>
      </w:pPr>
    </w:lvl>
    <w:lvl w:ilvl="1" w:tplc="2C1A0019">
      <w:start w:val="1"/>
      <w:numFmt w:val="lowerLetter"/>
      <w:lvlText w:val="%2."/>
      <w:lvlJc w:val="left"/>
      <w:pPr>
        <w:ind w:left="796" w:hanging="360"/>
      </w:pPr>
    </w:lvl>
    <w:lvl w:ilvl="2" w:tplc="2C1A001B">
      <w:start w:val="1"/>
      <w:numFmt w:val="lowerRoman"/>
      <w:lvlText w:val="%3."/>
      <w:lvlJc w:val="right"/>
      <w:pPr>
        <w:ind w:left="1516" w:hanging="180"/>
      </w:pPr>
    </w:lvl>
    <w:lvl w:ilvl="3" w:tplc="2C1A000F">
      <w:start w:val="1"/>
      <w:numFmt w:val="decimal"/>
      <w:lvlText w:val="%4."/>
      <w:lvlJc w:val="left"/>
      <w:pPr>
        <w:ind w:left="2236" w:hanging="360"/>
      </w:pPr>
    </w:lvl>
    <w:lvl w:ilvl="4" w:tplc="2C1A0019">
      <w:start w:val="1"/>
      <w:numFmt w:val="lowerLetter"/>
      <w:lvlText w:val="%5."/>
      <w:lvlJc w:val="left"/>
      <w:pPr>
        <w:ind w:left="2956" w:hanging="360"/>
      </w:pPr>
    </w:lvl>
    <w:lvl w:ilvl="5" w:tplc="2C1A001B">
      <w:start w:val="1"/>
      <w:numFmt w:val="lowerRoman"/>
      <w:lvlText w:val="%6."/>
      <w:lvlJc w:val="right"/>
      <w:pPr>
        <w:ind w:left="3676" w:hanging="180"/>
      </w:pPr>
    </w:lvl>
    <w:lvl w:ilvl="6" w:tplc="2C1A000F">
      <w:start w:val="1"/>
      <w:numFmt w:val="decimal"/>
      <w:lvlText w:val="%7."/>
      <w:lvlJc w:val="left"/>
      <w:pPr>
        <w:ind w:left="4396" w:hanging="360"/>
      </w:pPr>
    </w:lvl>
    <w:lvl w:ilvl="7" w:tplc="2C1A0019">
      <w:start w:val="1"/>
      <w:numFmt w:val="lowerLetter"/>
      <w:lvlText w:val="%8."/>
      <w:lvlJc w:val="left"/>
      <w:pPr>
        <w:ind w:left="5116" w:hanging="360"/>
      </w:pPr>
    </w:lvl>
    <w:lvl w:ilvl="8" w:tplc="2C1A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</w:lvl>
    <w:lvl w:ilvl="1" w:tplc="2C1A0019">
      <w:start w:val="1"/>
      <w:numFmt w:val="lowerLetter"/>
      <w:lvlText w:val="%2."/>
      <w:lvlJc w:val="left"/>
      <w:pPr>
        <w:ind w:left="938" w:hanging="360"/>
      </w:pPr>
    </w:lvl>
    <w:lvl w:ilvl="2" w:tplc="2C1A001B">
      <w:start w:val="1"/>
      <w:numFmt w:val="lowerRoman"/>
      <w:lvlText w:val="%3."/>
      <w:lvlJc w:val="right"/>
      <w:pPr>
        <w:ind w:left="1658" w:hanging="180"/>
      </w:pPr>
    </w:lvl>
    <w:lvl w:ilvl="3" w:tplc="2C1A000F">
      <w:start w:val="1"/>
      <w:numFmt w:val="decimal"/>
      <w:lvlText w:val="%4."/>
      <w:lvlJc w:val="left"/>
      <w:pPr>
        <w:ind w:left="2378" w:hanging="360"/>
      </w:pPr>
    </w:lvl>
    <w:lvl w:ilvl="4" w:tplc="2C1A0019">
      <w:start w:val="1"/>
      <w:numFmt w:val="lowerLetter"/>
      <w:lvlText w:val="%5."/>
      <w:lvlJc w:val="left"/>
      <w:pPr>
        <w:ind w:left="3098" w:hanging="360"/>
      </w:pPr>
    </w:lvl>
    <w:lvl w:ilvl="5" w:tplc="2C1A001B">
      <w:start w:val="1"/>
      <w:numFmt w:val="lowerRoman"/>
      <w:lvlText w:val="%6."/>
      <w:lvlJc w:val="right"/>
      <w:pPr>
        <w:ind w:left="3818" w:hanging="180"/>
      </w:pPr>
    </w:lvl>
    <w:lvl w:ilvl="6" w:tplc="2C1A000F">
      <w:start w:val="1"/>
      <w:numFmt w:val="decimal"/>
      <w:lvlText w:val="%7."/>
      <w:lvlJc w:val="left"/>
      <w:pPr>
        <w:ind w:left="4538" w:hanging="360"/>
      </w:pPr>
    </w:lvl>
    <w:lvl w:ilvl="7" w:tplc="2C1A0019">
      <w:start w:val="1"/>
      <w:numFmt w:val="lowerLetter"/>
      <w:lvlText w:val="%8."/>
      <w:lvlJc w:val="left"/>
      <w:pPr>
        <w:ind w:left="5258" w:hanging="360"/>
      </w:pPr>
    </w:lvl>
    <w:lvl w:ilvl="8" w:tplc="2C1A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A465DD"/>
    <w:multiLevelType w:val="hybridMultilevel"/>
    <w:tmpl w:val="D362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B72DA1"/>
    <w:multiLevelType w:val="hybridMultilevel"/>
    <w:tmpl w:val="4C84EB74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0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D12FC"/>
    <w:multiLevelType w:val="hybridMultilevel"/>
    <w:tmpl w:val="374A723A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2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0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26"/>
    <w:rsid w:val="00014E99"/>
    <w:rsid w:val="00037505"/>
    <w:rsid w:val="00043032"/>
    <w:rsid w:val="000C688D"/>
    <w:rsid w:val="000F6C34"/>
    <w:rsid w:val="001656E7"/>
    <w:rsid w:val="00180562"/>
    <w:rsid w:val="00243399"/>
    <w:rsid w:val="00256AC0"/>
    <w:rsid w:val="00273A51"/>
    <w:rsid w:val="002A0B09"/>
    <w:rsid w:val="00343465"/>
    <w:rsid w:val="003643B0"/>
    <w:rsid w:val="00387506"/>
    <w:rsid w:val="00396B84"/>
    <w:rsid w:val="004255F8"/>
    <w:rsid w:val="00446F54"/>
    <w:rsid w:val="0045453A"/>
    <w:rsid w:val="00480263"/>
    <w:rsid w:val="004B444F"/>
    <w:rsid w:val="0056022A"/>
    <w:rsid w:val="005F238D"/>
    <w:rsid w:val="00617321"/>
    <w:rsid w:val="00646A2D"/>
    <w:rsid w:val="008871DD"/>
    <w:rsid w:val="00887DB3"/>
    <w:rsid w:val="008D0F08"/>
    <w:rsid w:val="008E2F36"/>
    <w:rsid w:val="0091378E"/>
    <w:rsid w:val="009E1C43"/>
    <w:rsid w:val="009E2854"/>
    <w:rsid w:val="00A103DB"/>
    <w:rsid w:val="00AB0CB6"/>
    <w:rsid w:val="00AC7491"/>
    <w:rsid w:val="00B334AB"/>
    <w:rsid w:val="00B649B8"/>
    <w:rsid w:val="00BD4BE9"/>
    <w:rsid w:val="00BD633E"/>
    <w:rsid w:val="00BE706C"/>
    <w:rsid w:val="00C039DF"/>
    <w:rsid w:val="00C25D34"/>
    <w:rsid w:val="00C35B15"/>
    <w:rsid w:val="00C72A09"/>
    <w:rsid w:val="00CE266A"/>
    <w:rsid w:val="00D62EF3"/>
    <w:rsid w:val="00D644B2"/>
    <w:rsid w:val="00D80DA5"/>
    <w:rsid w:val="00E13F8B"/>
    <w:rsid w:val="00E30FCE"/>
    <w:rsid w:val="00E61F59"/>
    <w:rsid w:val="00E957CE"/>
    <w:rsid w:val="00F12431"/>
    <w:rsid w:val="00F6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4999"/>
  <w15:chartTrackingRefBased/>
  <w15:docId w15:val="{7B7B0324-FF4B-41B2-83D4-E7A8EAF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26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pavicevic</dc:creator>
  <cp:keywords/>
  <dc:description/>
  <cp:lastModifiedBy>Tešević Bojana</cp:lastModifiedBy>
  <cp:revision>2</cp:revision>
  <dcterms:created xsi:type="dcterms:W3CDTF">2021-08-05T11:54:00Z</dcterms:created>
  <dcterms:modified xsi:type="dcterms:W3CDTF">2021-08-05T11:54:00Z</dcterms:modified>
</cp:coreProperties>
</file>