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39ED2B" w14:textId="77777777" w:rsidR="000C688D" w:rsidRDefault="000C688D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5F4C55FF" w14:textId="77777777" w:rsidR="00F64626" w:rsidRPr="00C25D34" w:rsidRDefault="00F64626" w:rsidP="00F64626">
      <w:pPr>
        <w:widowControl w:val="0"/>
        <w:autoSpaceDE w:val="0"/>
        <w:autoSpaceDN w:val="0"/>
        <w:adjustRightInd w:val="0"/>
        <w:spacing w:after="0"/>
        <w:ind w:left="-425" w:right="-28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object w:dxaOrig="2070" w:dyaOrig="870" w14:anchorId="4767C5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44.25pt" o:ole="" filled="t">
            <v:fill color2="black"/>
            <v:imagedata r:id="rId5" o:title=""/>
          </v:shape>
          <o:OLEObject Type="Embed" ProgID="CorelDRAW" ShapeID="_x0000_i1025" DrawAspect="Content" ObjectID="_1713940309" r:id="rId6"/>
        </w:object>
      </w:r>
    </w:p>
    <w:p w14:paraId="30CC6427" w14:textId="77777777" w:rsidR="00783031" w:rsidRDefault="00783031" w:rsidP="000C688D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</w:pPr>
    </w:p>
    <w:p w14:paraId="0B39BF50" w14:textId="18F2C6EA" w:rsidR="00962B01" w:rsidRPr="001A4B02" w:rsidRDefault="000C688D" w:rsidP="00962B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iCs/>
          <w:sz w:val="24"/>
          <w:szCs w:val="24"/>
          <w:lang w:val="en-US"/>
        </w:rPr>
        <w:t xml:space="preserve">      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 xml:space="preserve">Na osnovu člana 21 Statuta Javnog preduzeća za upravljanje morskim dobrom, člana 5 i 7 Zakona o morskom dobru ("Sl. list RCG", br. 14/92, 27/94  i „Sl.list CG“, br. 51/08, 21/09, 73/10 i 40/10 ), a u vezi sa članom 10 stav 1 alineja 12 Zakona o državnoj imovini ("Sl. list CG", br. 21/09 i 40/11), članova 4, 29 i 31 Uredbe o prodaji i davanju u zakup stvari u državnoj imovini (“Sl. list CG” br. 44/10), Odluke Upravnog odbora broj: 0203-388/7 od 28.01.2019.god o davanju u zakup/na korišćenje djelova morskog dobra prema Programu privremenih objekata u zoni morskog dobra i Atlasu crnogorskih plaža i kupališta za period 2019.-2023.god. na koju je saglasnost dala Vlada Crne Gore Zaključkom broj:07-263 od 07.02.2019.god,  </w:t>
      </w:r>
      <w:r w:rsidR="00962B01" w:rsidRPr="00962B01">
        <w:rPr>
          <w:rFonts w:ascii="Times New Roman" w:eastAsia="Times New Roman" w:hAnsi="Times New Roman" w:cs="Times New Roman"/>
          <w:bCs/>
          <w:sz w:val="24"/>
          <w:szCs w:val="24"/>
        </w:rPr>
        <w:t>Izmjenama i dopunama programa p</w:t>
      </w:r>
      <w:r w:rsidR="00962B01" w:rsidRPr="001A4B02">
        <w:rPr>
          <w:rFonts w:ascii="Times New Roman" w:eastAsia="Times New Roman" w:hAnsi="Times New Roman" w:cs="Times New Roman"/>
          <w:bCs/>
          <w:sz w:val="24"/>
          <w:szCs w:val="24"/>
        </w:rPr>
        <w:t xml:space="preserve">rograma privremenih objekata u zoni morskog dobra za Opštinu </w:t>
      </w:r>
      <w:r w:rsidR="006913D3">
        <w:rPr>
          <w:rFonts w:ascii="Times New Roman" w:eastAsia="Times New Roman" w:hAnsi="Times New Roman" w:cs="Times New Roman"/>
          <w:bCs/>
          <w:sz w:val="24"/>
          <w:szCs w:val="24"/>
        </w:rPr>
        <w:t>Budva</w:t>
      </w:r>
      <w:r w:rsidR="00962B01" w:rsidRPr="001A4B02">
        <w:rPr>
          <w:rFonts w:ascii="Times New Roman" w:eastAsia="Times New Roman" w:hAnsi="Times New Roman" w:cs="Times New Roman"/>
          <w:bCs/>
          <w:sz w:val="24"/>
          <w:szCs w:val="24"/>
        </w:rPr>
        <w:t xml:space="preserve"> za period od 2019-2023. god.</w:t>
      </w:r>
      <w:r w:rsidR="00962B01" w:rsidRPr="00962B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2B01" w:rsidRPr="001A4B02">
        <w:rPr>
          <w:rFonts w:ascii="Times New Roman" w:eastAsia="Calibri" w:hAnsi="Times New Roman" w:cs="Times New Roman"/>
          <w:sz w:val="24"/>
          <w:szCs w:val="24"/>
        </w:rPr>
        <w:t xml:space="preserve">Javno preduzeće za upravljanje morskim dobrom objavljuje </w:t>
      </w:r>
    </w:p>
    <w:p w14:paraId="39E0EAC6" w14:textId="79C4BAA8" w:rsidR="00BD633E" w:rsidRDefault="00BD633E" w:rsidP="00962B01">
      <w:pPr>
        <w:autoSpaceDE w:val="0"/>
        <w:spacing w:after="0" w:line="240" w:lineRule="auto"/>
        <w:ind w:left="-284"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6A675B93" w14:textId="77777777" w:rsidR="00783031" w:rsidRPr="00C25D34" w:rsidRDefault="00783031" w:rsidP="00F64626">
      <w:pPr>
        <w:autoSpaceDE w:val="0"/>
        <w:spacing w:after="0" w:line="240" w:lineRule="auto"/>
        <w:ind w:left="-284" w:right="-284" w:firstLine="709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049B6ED2" w14:textId="77777777" w:rsidR="00F64626" w:rsidRPr="00C25D34" w:rsidRDefault="00BD633E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J A V N I  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P O Z I V</w:t>
      </w:r>
    </w:p>
    <w:p w14:paraId="079B4309" w14:textId="068D282C" w:rsidR="00783031" w:rsidRPr="00E07610" w:rsidRDefault="00F64626" w:rsidP="00E07610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ZA JAVNO NADMETANJE ZA ZAKUP PRISTANIŠTA I PRIVEZIŠTA</w:t>
      </w:r>
    </w:p>
    <w:p w14:paraId="7A91D9F5" w14:textId="7433D81B" w:rsidR="00F64626" w:rsidRDefault="00F64626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  <w:r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BROJ: </w:t>
      </w:r>
      <w:r w:rsidR="00CE7C48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0209-1932</w:t>
      </w:r>
      <w:r w:rsidR="00EB30CA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/</w:t>
      </w:r>
      <w:r w:rsidR="00CE7C48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</w:t>
      </w:r>
      <w:r w:rsidR="00D80DA5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 xml:space="preserve"> od </w:t>
      </w:r>
      <w:r w:rsidR="000D114C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1</w:t>
      </w:r>
      <w:r w:rsidR="00EB30CA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3</w:t>
      </w:r>
      <w:r w:rsidR="000D114C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.0</w:t>
      </w:r>
      <w:r w:rsidR="00EB30CA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5</w:t>
      </w:r>
      <w:r w:rsidR="000D114C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.2022</w:t>
      </w:r>
      <w:r w:rsidR="00D80DA5" w:rsidRPr="00EB30CA"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  <w:t>. godine</w:t>
      </w:r>
    </w:p>
    <w:p w14:paraId="0CF9FBA4" w14:textId="77777777" w:rsidR="00E07610" w:rsidRDefault="00E07610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6D3788EF" w14:textId="77777777" w:rsidR="00E07610" w:rsidRDefault="00E07610" w:rsidP="000C688D">
      <w:pPr>
        <w:tabs>
          <w:tab w:val="left" w:pos="9165"/>
        </w:tabs>
        <w:spacing w:after="120" w:line="254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sr-Latn-CS"/>
        </w:rPr>
      </w:pPr>
    </w:p>
    <w:p w14:paraId="2AD643BB" w14:textId="74E92599" w:rsidR="00F64626" w:rsidRPr="00E07610" w:rsidRDefault="00F64626" w:rsidP="00E07610">
      <w:pPr>
        <w:numPr>
          <w:ilvl w:val="0"/>
          <w:numId w:val="1"/>
        </w:num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 w:hanging="357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  <w:r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P</w:t>
      </w:r>
      <w:r w:rsidR="00E07610" w:rsidRPr="00E07610"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  <w:t>REDMET</w:t>
      </w:r>
    </w:p>
    <w:p w14:paraId="5DCBF7AA" w14:textId="77777777" w:rsidR="00E07610" w:rsidRDefault="00E07610" w:rsidP="00E07610">
      <w:pPr>
        <w:tabs>
          <w:tab w:val="left" w:pos="142"/>
        </w:tabs>
        <w:suppressAutoHyphens/>
        <w:autoSpaceDE w:val="0"/>
        <w:autoSpaceDN w:val="0"/>
        <w:adjustRightInd w:val="0"/>
        <w:spacing w:after="120" w:line="240" w:lineRule="auto"/>
        <w:ind w:left="215" w:right="-28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 w:eastAsia="sr-Latn-ME"/>
        </w:rPr>
      </w:pPr>
    </w:p>
    <w:p w14:paraId="26C87B32" w14:textId="1D7527FA" w:rsidR="000D114C" w:rsidRPr="00E07610" w:rsidRDefault="000D114C" w:rsidP="00E07610">
      <w:pPr>
        <w:autoSpaceDE w:val="0"/>
        <w:spacing w:line="259" w:lineRule="auto"/>
        <w:ind w:right="-15"/>
        <w:jc w:val="both"/>
        <w:rPr>
          <w:rFonts w:ascii="Times New Roman" w:eastAsia="Times New Roman" w:hAnsi="Times New Roman" w:cs="Times New Roman"/>
          <w:sz w:val="24"/>
          <w:lang w:val="sr-Latn-CS"/>
        </w:rPr>
      </w:pP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Predmet ovog poziva je davanje u zakup plutajućih privremenih objekata u </w:t>
      </w:r>
      <w:r w:rsidR="00962B01"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>skladu sa Izmjenama i dopunama p</w:t>
      </w:r>
      <w:r w:rsidRPr="00E07610">
        <w:rPr>
          <w:rFonts w:ascii="Times New Roman" w:eastAsia="Times New Roman" w:hAnsi="Times New Roman" w:cs="Times New Roman"/>
          <w:bCs/>
          <w:sz w:val="24"/>
          <w:lang w:val="sr-Latn-CS"/>
        </w:rPr>
        <w:t xml:space="preserve">rograma privremenih objekata u zoni morskog dobra u opštini Budva za 2019-2023. godinu  </w:t>
      </w:r>
      <w:r w:rsidRPr="00E07610">
        <w:rPr>
          <w:rFonts w:ascii="Times New Roman" w:eastAsia="Times New Roman" w:hAnsi="Times New Roman" w:cs="Times New Roman"/>
          <w:sz w:val="24"/>
          <w:lang w:val="sr-Latn-CS"/>
        </w:rPr>
        <w:t>na sledećim lokacijama:</w:t>
      </w:r>
    </w:p>
    <w:p w14:paraId="2F544D8D" w14:textId="77777777" w:rsidR="00E07610" w:rsidRDefault="00E07610" w:rsidP="000D114C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</w:p>
    <w:p w14:paraId="615374FB" w14:textId="77777777" w:rsidR="000D114C" w:rsidRDefault="000D114C" w:rsidP="000D114C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  <w:r w:rsidRPr="000D114C">
        <w:rPr>
          <w:rFonts w:ascii="Cambria" w:eastAsia="Times New Roman" w:hAnsi="Cambria" w:cs="Arial"/>
          <w:b/>
        </w:rPr>
        <w:t>1. OPŠTINA BUDVA</w:t>
      </w:r>
    </w:p>
    <w:p w14:paraId="704AD076" w14:textId="77777777" w:rsidR="00E07610" w:rsidRPr="000D114C" w:rsidRDefault="00E07610" w:rsidP="000D114C">
      <w:pPr>
        <w:tabs>
          <w:tab w:val="left" w:pos="567"/>
        </w:tabs>
        <w:spacing w:line="259" w:lineRule="auto"/>
        <w:jc w:val="both"/>
        <w:rPr>
          <w:rFonts w:ascii="Cambria" w:eastAsia="Times New Roman" w:hAnsi="Cambria" w:cs="Arial"/>
          <w:b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0F1FB0DF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9BBA7C2" w14:textId="77777777" w:rsidR="000D114C" w:rsidRPr="000D114C" w:rsidRDefault="000D114C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1.1 RAFAILOVIĆI</w:t>
            </w:r>
          </w:p>
        </w:tc>
      </w:tr>
    </w:tbl>
    <w:p w14:paraId="4DD103FF" w14:textId="77777777" w:rsid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12C2CB7" w14:textId="77777777" w:rsidR="00E07610" w:rsidRPr="000D114C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6933530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kat. parcele 1431/6 KO Bečići, u kojem se postavlja platforma za pristajanje i privez plovnih objekata dimenzija 30m x 2m.</w:t>
      </w:r>
    </w:p>
    <w:p w14:paraId="502FF483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86C4D54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 xml:space="preserve">10.25 </w:t>
      </w:r>
      <w:r w:rsidRPr="000D114C">
        <w:rPr>
          <w:rFonts w:ascii="Cambria-Bold" w:eastAsia="Times New Roman" w:hAnsi="Cambria-Bold" w:cs="Cambria-Bold"/>
          <w:bCs/>
        </w:rPr>
        <w:t>u Izmjenama i dopunama programa Programa privremenih objekata u zoni morskog dobra za Opštinu Budva za period od 2019-2023. god.</w:t>
      </w:r>
    </w:p>
    <w:p w14:paraId="2DDF4FA8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AFFA616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5AC41AB5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C9393D3" w14:textId="77777777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Pr="00E07610">
        <w:rPr>
          <w:rFonts w:ascii="Cambria" w:eastAsia="Times New Roman" w:hAnsi="Cambria" w:cs="Cambria"/>
          <w:b/>
          <w:sz w:val="24"/>
          <w:szCs w:val="24"/>
        </w:rPr>
        <w:t>720,00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749AECFA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82BCAC1" w14:textId="304178C8" w:rsidR="00783031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Potrebno je dobiti saglasnost Lučke kapetanije Bar.</w:t>
      </w:r>
    </w:p>
    <w:p w14:paraId="730E403A" w14:textId="77777777" w:rsidR="00783031" w:rsidRDefault="00783031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04C2E36A" w14:textId="77777777" w:rsidR="00783031" w:rsidRPr="000D114C" w:rsidRDefault="00783031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34330B98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529EE138" w14:textId="77777777" w:rsidR="000D114C" w:rsidRPr="000D114C" w:rsidRDefault="000D114C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lastRenderedPageBreak/>
              <w:t>1.2 RAFAILOVIĆI</w:t>
            </w:r>
          </w:p>
        </w:tc>
      </w:tr>
    </w:tbl>
    <w:p w14:paraId="25508F6D" w14:textId="77777777" w:rsid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6BC270C" w14:textId="77777777" w:rsidR="00E07610" w:rsidRPr="000D114C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1E9B0DD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kat. parcele  1431/6 KO Bečići, u kojem se postavlja platforma za pristajanje i privez plovnih objekata dimenzija 30m x 2m.</w:t>
      </w:r>
    </w:p>
    <w:p w14:paraId="447D257B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3D6E77ED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 xml:space="preserve">10.26 </w:t>
      </w:r>
      <w:r w:rsidRPr="000D114C">
        <w:rPr>
          <w:rFonts w:ascii="Cambria-Bold" w:eastAsia="Times New Roman" w:hAnsi="Cambria-Bold" w:cs="Cambria-Bold"/>
          <w:bCs/>
        </w:rPr>
        <w:t>u Izmjenama i dopunama programa Programa privremenih objekata u zoni morskog dobra za Opštinu Budva za period od 2019-2023. god.</w:t>
      </w:r>
    </w:p>
    <w:p w14:paraId="51FB86E1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9724007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4B32C489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6F0F21A9" w14:textId="77777777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Pr="00E07610">
        <w:rPr>
          <w:rFonts w:ascii="Cambria" w:eastAsia="Times New Roman" w:hAnsi="Cambria" w:cs="Cambria"/>
          <w:b/>
          <w:sz w:val="24"/>
          <w:szCs w:val="24"/>
        </w:rPr>
        <w:t>720,00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328B376C" w14:textId="77777777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</w:p>
    <w:p w14:paraId="21D9FAC9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Potrebno je dobiti saglasnost Lučke kapetanije Bar.</w:t>
      </w:r>
    </w:p>
    <w:p w14:paraId="4276AE9C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9504ED3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tbl>
      <w:tblPr>
        <w:tblW w:w="9659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9"/>
      </w:tblGrid>
      <w:tr w:rsidR="000D114C" w:rsidRPr="000D114C" w14:paraId="55914645" w14:textId="77777777" w:rsidTr="009278D3">
        <w:trPr>
          <w:trHeight w:val="375"/>
        </w:trPr>
        <w:tc>
          <w:tcPr>
            <w:tcW w:w="9659" w:type="dxa"/>
            <w:shd w:val="clear" w:color="auto" w:fill="DEEAF6" w:themeFill="accent1" w:themeFillTint="33"/>
          </w:tcPr>
          <w:p w14:paraId="18ECF575" w14:textId="77777777" w:rsidR="000D114C" w:rsidRPr="000D114C" w:rsidRDefault="000D114C" w:rsidP="000D114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mbria" w:eastAsia="Times New Roman" w:hAnsi="Cambria" w:cs="Cambria"/>
                <w:b/>
                <w:sz w:val="24"/>
                <w:szCs w:val="24"/>
              </w:rPr>
            </w:pPr>
            <w:r w:rsidRPr="000D114C">
              <w:rPr>
                <w:rFonts w:ascii="Cambria" w:eastAsia="Times New Roman" w:hAnsi="Cambria" w:cs="Cambria"/>
                <w:b/>
                <w:sz w:val="24"/>
                <w:szCs w:val="24"/>
              </w:rPr>
              <w:t>1.3 RAFAILOVIĆI</w:t>
            </w:r>
          </w:p>
        </w:tc>
      </w:tr>
    </w:tbl>
    <w:p w14:paraId="4141AAD2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5AAA48E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/>
          <w:bCs/>
        </w:rPr>
      </w:pPr>
    </w:p>
    <w:p w14:paraId="0F43076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PREDMET ZAKUPA: </w:t>
      </w:r>
      <w:r w:rsidRPr="000D114C">
        <w:rPr>
          <w:rFonts w:ascii="Cambria-Bold" w:eastAsia="Times New Roman" w:hAnsi="Cambria-Bold" w:cs="Cambria-Bold"/>
          <w:bCs/>
        </w:rPr>
        <w:t>Akvatorijum ispred ikat. Parcele3 1431/6 KO Bečići, u kojem se postavlja platforma za pristajanje i privez plovnih objekata dimenzija 30m x 2m.</w:t>
      </w:r>
    </w:p>
    <w:p w14:paraId="2E77C995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</w:p>
    <w:p w14:paraId="197F5DA6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  <w:r w:rsidRPr="000D114C">
        <w:rPr>
          <w:rFonts w:ascii="Cambria-Bold" w:eastAsia="Times New Roman" w:hAnsi="Cambria-Bold" w:cs="Cambria-Bold"/>
          <w:bCs/>
        </w:rPr>
        <w:t xml:space="preserve">Lokacija označena </w:t>
      </w:r>
      <w:r w:rsidRPr="000D114C">
        <w:rPr>
          <w:rFonts w:ascii="Cambria-Bold" w:eastAsia="Times New Roman" w:hAnsi="Cambria-Bold" w:cs="Cambria-Bold"/>
          <w:b/>
          <w:bCs/>
        </w:rPr>
        <w:t xml:space="preserve">10.27 </w:t>
      </w:r>
      <w:r w:rsidRPr="000D114C">
        <w:rPr>
          <w:rFonts w:ascii="Cambria-Bold" w:eastAsia="Times New Roman" w:hAnsi="Cambria-Bold" w:cs="Cambria-Bold"/>
          <w:bCs/>
        </w:rPr>
        <w:t>u Izmjenama i dopunama programa Programa privremenih objekata u zoni morskog dobra za Opštinu Budva za period od 2019-2023. god.</w:t>
      </w:r>
    </w:p>
    <w:p w14:paraId="4638665F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7CBC25C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-Bold" w:eastAsia="Times New Roman" w:hAnsi="Cambria-Bold" w:cs="Cambria-Bold"/>
          <w:bCs/>
        </w:rPr>
      </w:pPr>
      <w:r w:rsidRPr="000D114C">
        <w:rPr>
          <w:rFonts w:ascii="Cambria-Bold" w:eastAsia="Times New Roman" w:hAnsi="Cambria-Bold" w:cs="Cambria-Bold"/>
          <w:b/>
          <w:bCs/>
        </w:rPr>
        <w:t xml:space="preserve">NAMJENA </w:t>
      </w:r>
      <w:r w:rsidRPr="000D114C">
        <w:rPr>
          <w:rFonts w:ascii="Cambria" w:eastAsia="Times New Roman" w:hAnsi="Cambria" w:cs="Cambria"/>
        </w:rPr>
        <w:t xml:space="preserve">: </w:t>
      </w:r>
      <w:r w:rsidRPr="000D114C">
        <w:rPr>
          <w:rFonts w:ascii="Cambria-Bold" w:eastAsia="Times New Roman" w:hAnsi="Cambria-Bold" w:cs="Cambria-Bold"/>
          <w:bCs/>
        </w:rPr>
        <w:t>Platforma pristajanje i privez plovnih objekata</w:t>
      </w:r>
    </w:p>
    <w:p w14:paraId="1013BD0C" w14:textId="77777777" w:rsidR="00E07610" w:rsidRDefault="00E07610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5901FFE9" w14:textId="77777777" w:rsidR="000D114C" w:rsidRPr="00E07610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  <w:b/>
        </w:rPr>
      </w:pPr>
      <w:r w:rsidRPr="00E07610">
        <w:rPr>
          <w:rFonts w:ascii="Cambria" w:eastAsia="Times New Roman" w:hAnsi="Cambria" w:cs="Cambria"/>
          <w:b/>
        </w:rPr>
        <w:t xml:space="preserve">POČETNA CIJENA GODIŠNJEG ZAKUPA: </w:t>
      </w:r>
      <w:r w:rsidRPr="00E07610">
        <w:rPr>
          <w:rFonts w:ascii="Cambria" w:eastAsia="Times New Roman" w:hAnsi="Cambria" w:cs="Cambria"/>
          <w:b/>
          <w:sz w:val="24"/>
          <w:szCs w:val="24"/>
        </w:rPr>
        <w:t>720,00</w:t>
      </w:r>
      <w:r w:rsidRPr="00E07610">
        <w:rPr>
          <w:rFonts w:ascii="Cambria" w:eastAsia="Times New Roman" w:hAnsi="Cambria" w:cs="Cambria"/>
          <w:b/>
        </w:rPr>
        <w:t xml:space="preserve">  EURA</w:t>
      </w:r>
    </w:p>
    <w:p w14:paraId="3CC36589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Arial"/>
        </w:rPr>
      </w:pPr>
    </w:p>
    <w:p w14:paraId="2F1B1515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</w:rPr>
      </w:pPr>
      <w:r w:rsidRPr="000D114C">
        <w:rPr>
          <w:rFonts w:ascii="Times New Roman" w:eastAsia="Times New Roman" w:hAnsi="Times New Roman" w:cs="Times New Roman"/>
          <w:bCs/>
          <w:sz w:val="24"/>
          <w:szCs w:val="24"/>
        </w:rPr>
        <w:t>Potrebno je dobiti saglasnost Lučke kapetanije Bar.</w:t>
      </w:r>
    </w:p>
    <w:p w14:paraId="3D049814" w14:textId="77777777" w:rsidR="000D114C" w:rsidRPr="000D114C" w:rsidRDefault="000D114C" w:rsidP="000D114C">
      <w:pPr>
        <w:autoSpaceDE w:val="0"/>
        <w:autoSpaceDN w:val="0"/>
        <w:adjustRightInd w:val="0"/>
        <w:spacing w:after="0" w:line="240" w:lineRule="auto"/>
        <w:jc w:val="both"/>
        <w:rPr>
          <w:rFonts w:ascii="Cambria" w:eastAsia="Times New Roman" w:hAnsi="Cambria" w:cs="Cambria"/>
        </w:rPr>
      </w:pPr>
    </w:p>
    <w:p w14:paraId="3B9AD394" w14:textId="77777777" w:rsidR="00BE706C" w:rsidRPr="00BD633E" w:rsidRDefault="00BE706C" w:rsidP="00F64626">
      <w:pPr>
        <w:autoSpaceDE w:val="0"/>
        <w:autoSpaceDN w:val="0"/>
        <w:adjustRightInd w:val="0"/>
        <w:spacing w:after="0" w:line="240" w:lineRule="auto"/>
        <w:ind w:right="-4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DB3A2D7" w14:textId="573C5426" w:rsidR="00F64626" w:rsidRDefault="00F64626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Minimalne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cijene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zakupa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date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bez </w:t>
      </w:r>
      <w:proofErr w:type="spellStart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>uračunatog</w:t>
      </w:r>
      <w:proofErr w:type="spellEnd"/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  <w:t xml:space="preserve"> PDV-A.</w:t>
      </w:r>
    </w:p>
    <w:p w14:paraId="40752500" w14:textId="447018E2" w:rsidR="00F85101" w:rsidRDefault="00F85101" w:rsidP="00BD633E">
      <w:pPr>
        <w:autoSpaceDE w:val="0"/>
        <w:autoSpaceDN w:val="0"/>
        <w:spacing w:before="1"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/>
        </w:rPr>
      </w:pPr>
    </w:p>
    <w:p w14:paraId="2F7AF6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 Način</w:t>
      </w:r>
    </w:p>
    <w:p w14:paraId="1B4722B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Davanje u zakup vrši se putem javnog nadmetanja (aukcije). </w:t>
      </w:r>
    </w:p>
    <w:p w14:paraId="4D3095F2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30C8CCC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III Početna cijena</w:t>
      </w:r>
    </w:p>
    <w:p w14:paraId="6382234E" w14:textId="60483546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3.1</w:t>
      </w:r>
      <w:r w:rsidR="00E07610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 Lokacije se daju  u zakup u viđenom stanju.</w:t>
      </w:r>
    </w:p>
    <w:p w14:paraId="1291663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Lokacije se daju u zakup bez postavljenih objekata i infrastrukturne opremljenosti.</w:t>
      </w:r>
    </w:p>
    <w:p w14:paraId="6F0A2D21" w14:textId="439B142D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Lokacijama se pristupa preko postojećih staza i pristupnih komunikacija</w:t>
      </w:r>
      <w:r w:rsidR="00783031">
        <w:rPr>
          <w:rFonts w:ascii="Times New Roman" w:eastAsia="Calibri" w:hAnsi="Times New Roman" w:cs="Times New Roman"/>
          <w:sz w:val="24"/>
          <w:szCs w:val="24"/>
        </w:rPr>
        <w:t>,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a izuzetno ukoliko se pristupna staza nalazi na privatnoj parceli izabrani ponuđač je dužan da za korišćenje iste obezbijedi saglasnost vlasnika. </w:t>
      </w:r>
    </w:p>
    <w:p w14:paraId="74724831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F486DB8" w14:textId="77777777" w:rsidR="00F64626" w:rsidRPr="003643B0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3.2. </w:t>
      </w:r>
      <w:r w:rsidRPr="003643B0">
        <w:rPr>
          <w:rFonts w:ascii="Times New Roman" w:eastAsia="Calibri" w:hAnsi="Times New Roman" w:cs="Times New Roman"/>
          <w:b/>
          <w:bCs/>
          <w:sz w:val="24"/>
          <w:szCs w:val="24"/>
        </w:rPr>
        <w:t>Naknada za korišćenje/zakupnina</w:t>
      </w:r>
    </w:p>
    <w:p w14:paraId="78A617AA" w14:textId="39F26F7F" w:rsidR="003643B0" w:rsidRPr="003643B0" w:rsidRDefault="003643B0" w:rsidP="003643B0">
      <w:pPr>
        <w:ind w:left="-567" w:right="-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3643B0">
        <w:rPr>
          <w:rFonts w:ascii="Times New Roman" w:hAnsi="Times New Roman" w:cs="Times New Roman"/>
          <w:b/>
          <w:sz w:val="24"/>
          <w:szCs w:val="24"/>
        </w:rPr>
        <w:t>Minimalne cijene sezonskog zakupa za 202</w:t>
      </w:r>
      <w:r w:rsidR="00F85101">
        <w:rPr>
          <w:rFonts w:ascii="Times New Roman" w:hAnsi="Times New Roman" w:cs="Times New Roman"/>
          <w:b/>
          <w:sz w:val="24"/>
          <w:szCs w:val="24"/>
        </w:rPr>
        <w:t>2</w:t>
      </w:r>
      <w:r w:rsidRPr="003643B0">
        <w:rPr>
          <w:rFonts w:ascii="Times New Roman" w:hAnsi="Times New Roman" w:cs="Times New Roman"/>
          <w:b/>
          <w:sz w:val="24"/>
          <w:szCs w:val="24"/>
        </w:rPr>
        <w:t>.godinu date su bez uračunatog PDV-A.</w:t>
      </w:r>
    </w:p>
    <w:p w14:paraId="16E6BD3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zakupa, odnosno zakupnina/naknada za korišćenje morskog dobra se uvećava  za iznos PDV-a.</w:t>
      </w:r>
    </w:p>
    <w:p w14:paraId="2CF57C3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Početna cijena za svaku lokaciju obračunava se na godišnjem/sezonskom nivou saglasno </w:t>
      </w:r>
      <w:r w:rsidRPr="00B04493">
        <w:rPr>
          <w:rFonts w:ascii="Times New Roman" w:eastAsia="Calibri" w:hAnsi="Times New Roman" w:cs="Times New Roman"/>
          <w:sz w:val="24"/>
          <w:szCs w:val="24"/>
        </w:rPr>
        <w:t>Cjeno</w:t>
      </w:r>
      <w:r w:rsidR="00243399" w:rsidRPr="00B04493">
        <w:rPr>
          <w:rFonts w:ascii="Times New Roman" w:eastAsia="Calibri" w:hAnsi="Times New Roman" w:cs="Times New Roman"/>
          <w:sz w:val="24"/>
          <w:szCs w:val="24"/>
        </w:rPr>
        <w:t>vniku početnih naknada iz 2019.</w:t>
      </w:r>
      <w:r w:rsidRPr="00B04493">
        <w:rPr>
          <w:rFonts w:ascii="Times New Roman" w:eastAsia="Calibri" w:hAnsi="Times New Roman" w:cs="Times New Roman"/>
          <w:sz w:val="24"/>
          <w:szCs w:val="24"/>
        </w:rPr>
        <w:t>god.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koji je utvrdilo Javno preduzeće za upravljanje morskim dobrom.   </w:t>
      </w:r>
    </w:p>
    <w:p w14:paraId="60AA006C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Početna cijena se odnosi na kalendarsku godinu bez obzira kada je ugovor zaključen.</w:t>
      </w:r>
    </w:p>
    <w:p w14:paraId="2DA515F8" w14:textId="77777777" w:rsidR="00BD633E" w:rsidRPr="00BD633E" w:rsidRDefault="00BD633E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D633E">
        <w:rPr>
          <w:rFonts w:ascii="Times New Roman" w:hAnsi="Times New Roman" w:cs="Times New Roman"/>
          <w:b/>
          <w:sz w:val="24"/>
          <w:szCs w:val="24"/>
        </w:rPr>
        <w:t>Uvažavajući da je Zaključcima Upravnog odbora Javnog preduzeća broj:0203-1203/8 od 27.04.2021.godine planirana izmjena cjenovne politike, odnosno usvajanje inoviranog Cjenovnika početnih naknada za korišćenje/zakup morskog dobra, naknada za 2022. i 2023.godinu biće utvrđena aneksom ugovora.</w:t>
      </w:r>
    </w:p>
    <w:p w14:paraId="31489A25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Zakupnina/naknada za korišćenje morskog dobra  plaća se u cjelini u momentu zaključenja ugovora ili u najviše tri rate, od kojih prva rata dospijeva u momentu zaključenja ugovora. uz obavezu izabranog ponuđača da u momentu zaključenja ugovora dostavi Javnom preduzeću orginalnu, bezuslovnu i naplativu na prvi poziv bankarsku garanciju za plaćanje preostalog iznosa zakupnine, koji je uvećan za iznos  PDV-a.</w:t>
      </w:r>
    </w:p>
    <w:p w14:paraId="5BF544BF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94E491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3.3 Vrijeme zakupa</w:t>
      </w:r>
    </w:p>
    <w:p w14:paraId="5B57EF45" w14:textId="42B25EA8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 w:eastAsia="sr-Latn-CS"/>
        </w:rPr>
        <w:t xml:space="preserve">Ugovori se zaključuju za tekuću godinu računajući od dana zaključenja ugovora do  </w:t>
      </w:r>
      <w:r w:rsidR="004B444F" w:rsidRPr="00C25D34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31.12.202</w:t>
      </w:r>
      <w:r w:rsidR="00F85101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2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. 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ine</w:t>
      </w:r>
      <w:r w:rsidR="00BD633E">
        <w:rPr>
          <w:rFonts w:ascii="Times New Roman" w:eastAsia="Calibri" w:hAnsi="Times New Roman" w:cs="Times New Roman"/>
          <w:b/>
          <w:bCs/>
          <w:sz w:val="24"/>
          <w:szCs w:val="24"/>
          <w:lang w:val="pl-PL" w:eastAsia="sr-Latn-CS"/>
        </w:rPr>
        <w:t> </w:t>
      </w:r>
      <w:r w:rsidRPr="00C25D34">
        <w:rPr>
          <w:rFonts w:ascii="Times New Roman" w:eastAsia="Calibri" w:hAnsi="Times New Roman" w:cs="Times New Roman"/>
          <w:sz w:val="24"/>
          <w:szCs w:val="24"/>
        </w:rPr>
        <w:t>uz mogućnost godišnjeg prod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uženja za period od </w:t>
      </w:r>
      <w:r w:rsidR="00F85101">
        <w:rPr>
          <w:rFonts w:ascii="Times New Roman" w:eastAsia="Calibri" w:hAnsi="Times New Roman" w:cs="Times New Roman"/>
          <w:sz w:val="24"/>
          <w:szCs w:val="24"/>
        </w:rPr>
        <w:t>1</w:t>
      </w:r>
      <w:r w:rsidR="004B444F" w:rsidRPr="00C25D34">
        <w:rPr>
          <w:rFonts w:ascii="Times New Roman" w:eastAsia="Calibri" w:hAnsi="Times New Roman" w:cs="Times New Roman"/>
          <w:sz w:val="24"/>
          <w:szCs w:val="24"/>
        </w:rPr>
        <w:t xml:space="preserve"> ( </w:t>
      </w:r>
      <w:r w:rsidR="00F85101">
        <w:rPr>
          <w:rFonts w:ascii="Times New Roman" w:eastAsia="Calibri" w:hAnsi="Times New Roman" w:cs="Times New Roman"/>
          <w:sz w:val="24"/>
          <w:szCs w:val="24"/>
        </w:rPr>
        <w:t>jedne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) godine, odnosno do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31.12.2023.god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</w:rPr>
        <w:t>ine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pod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l-SI"/>
        </w:rPr>
        <w:t>uslovom da je korisnik/zakupac  izvršio obaveze predviđene ovim ugovorom, da ugovor nije jednostrano ili sporazumno raskinut ili u slučaju da je pokrenut sudski spor između Javnog preduzeća i Korisnika/Zakupca zbog neispunjenja ugovorom preuzetih obaveza.</w:t>
      </w:r>
    </w:p>
    <w:p w14:paraId="57830F12" w14:textId="77777777" w:rsidR="00446F5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Ukoliko tokom trajanja ugovora dođe do privođenja prostora trajnoj namjeni koja podrazumijeva izgradnju hotela visoke kategorije (hoteli kategorije 5* ili 4*) u neposrednom zaleđu, odnosno  realizaciju planskog dokumenta koja isključuje korišćenje morskog dobra u skladu sa ovim ugovorom, ugovor se neće obnavljati i zakupac nema pravo da traži povraćaj do tada uloženih sredstava.</w:t>
      </w:r>
    </w:p>
    <w:p w14:paraId="4FE61C16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9E5F9AF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IV Uslovi za ponuđača</w:t>
      </w:r>
    </w:p>
    <w:p w14:paraId="5872C374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</w:pPr>
    </w:p>
    <w:p w14:paraId="66A887BD" w14:textId="49D055A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4.1</w:t>
      </w:r>
      <w:r w:rsidR="00E07610">
        <w:rPr>
          <w:rFonts w:ascii="Times New Roman" w:eastAsia="Times New Roman" w:hAnsi="Times New Roman" w:cs="Times New Roman"/>
          <w:b/>
          <w:bCs/>
          <w:sz w:val="24"/>
          <w:szCs w:val="24"/>
          <w:lang w:eastAsia="sr-Latn-ME"/>
        </w:rPr>
        <w:t>.</w:t>
      </w: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 xml:space="preserve"> Ponuđač može biti domaće ili strano fizičko lice, privredno društvo, pravno lice ili preduzetnik pojedinačno ili kao grupa ponuđača u zajedničkoj ponudi, konzorcijum koji ispunjavaju uslove iz Javnog poziva. </w:t>
      </w:r>
    </w:p>
    <w:p w14:paraId="6A6C3D57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</w:pPr>
    </w:p>
    <w:p w14:paraId="557A3115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Članovi zajedničke ponude moraju u ponudi dostaviti ugovor o konzorcijumu, u kojem će biti navedeno ko je nosilac zajedničke ponude i njegova ovlašćenja. Svi članovi zajedničke ponude dužni su da dostave tražene dokaze i dokažu ispunjenost uslova javnog poziva, izuzev Garancije ponude koja treba da glasi na nosioca konzorcijuma.</w:t>
      </w:r>
    </w:p>
    <w:p w14:paraId="45C12689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eastAsia="sr-Latn-ME"/>
        </w:rPr>
      </w:pPr>
    </w:p>
    <w:p w14:paraId="4BB9E3D8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  <w:r w:rsidRPr="00C25D34">
        <w:rPr>
          <w:rFonts w:ascii="Times New Roman" w:eastAsia="Times New Roman" w:hAnsi="Times New Roman" w:cs="Times New Roman"/>
          <w:sz w:val="24"/>
          <w:szCs w:val="24"/>
          <w:lang w:eastAsia="sr-Latn-ME"/>
        </w:rPr>
        <w:t>Tražene uslove  Ponuđač</w:t>
      </w:r>
      <w:r w:rsidRPr="00C25D34">
        <w:rPr>
          <w:rFonts w:ascii="Times New Roman" w:eastAsia="Times New Roman" w:hAnsi="Times New Roman" w:cs="Times New Roman"/>
          <w:color w:val="FF0000"/>
          <w:sz w:val="24"/>
          <w:szCs w:val="24"/>
          <w:lang w:eastAsia="sr-Latn-ME"/>
        </w:rPr>
        <w:t xml:space="preserve"> </w:t>
      </w:r>
      <w:r w:rsidRPr="00C25D34"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  <w:t>je dužan da ispuni u momentu podnošenja  prijave.</w:t>
      </w:r>
    </w:p>
    <w:p w14:paraId="3566C0EB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sz w:val="24"/>
          <w:szCs w:val="24"/>
          <w:lang w:val="sl-SI" w:eastAsia="sr-Latn-ME"/>
        </w:rPr>
      </w:pPr>
    </w:p>
    <w:p w14:paraId="4203BCF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V Kriterijumi za ponuđače: </w:t>
      </w:r>
    </w:p>
    <w:p w14:paraId="2475B936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ponuđač/korisnik pristaništa/privezišta ima pravo naplate pristajanja/privezivanja plovila i dužan je pridržavati se maksimalno odobrenih naknada za pristajanje plovila datih u tekstu </w:t>
      </w:r>
    </w:p>
    <w:p w14:paraId="534EFFCB" w14:textId="77777777" w:rsidR="004B444F" w:rsidRPr="00C25D34" w:rsidRDefault="004B444F" w:rsidP="00F64626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15F83C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lastRenderedPageBreak/>
        <w:t>KRITERIJUMI</w:t>
      </w:r>
    </w:p>
    <w:p w14:paraId="5850870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center"/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za određivanje visine naknada za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eastAsia="sr-Latn-ME"/>
        </w:rPr>
        <w:t xml:space="preserve">ivanje plovila u lukama od lokalnog značaja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ostalim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infrastrukture</w:t>
      </w:r>
      <w:proofErr w:type="spellEnd"/>
    </w:p>
    <w:p w14:paraId="468C3E19" w14:textId="77777777" w:rsid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lang w:val="en-US" w:eastAsia="sr-Latn-ME"/>
        </w:rPr>
        <w:t> </w:t>
      </w:r>
    </w:p>
    <w:p w14:paraId="2459B1F3" w14:textId="0D3711F6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I    PRISTAJANJE</w:t>
      </w:r>
    </w:p>
    <w:p w14:paraId="14B8CBC8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00C81E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čl. 9, tačka 10 i čl.12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Zakona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- Sl. list Crne Gore, 51/8; 40/11; 27/13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; </w:t>
      </w: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18/19)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lukama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značaja, na pristaništima i ostalim objektima obalne infrastrukture, Javno preduzeće za upravljanje morskim dobrom Crne Gore, primjenjivaće sledeće:     </w:t>
      </w:r>
    </w:p>
    <w:p w14:paraId="106E811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1AE077D3" w14:textId="05F21473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riterijum</w:t>
      </w:r>
      <w:r w:rsid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e</w:t>
      </w:r>
      <w:proofErr w:type="spellEnd"/>
    </w:p>
    <w:p w14:paraId="3061ABA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a)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operativne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–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pristaništa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E01E80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b)   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</w:p>
    <w:p w14:paraId="1A2F124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  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 plovila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i vrsta saobraćaja kojeg obavlja</w:t>
      </w:r>
    </w:p>
    <w:p w14:paraId="1ADD47C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361734D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Nivo opremljenosti operativne obale – pristaništa, se odnosi na uređaje, opremu i kvalitet sadržaja koji su obezbijeđeni na objektu.</w:t>
      </w:r>
    </w:p>
    <w:p w14:paraId="3352377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nosivost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e odnosi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korišćeni prostor operativne obale/pristaništa koji plovni objekat zauzima prilikom pristajanja.  </w:t>
      </w:r>
    </w:p>
    <w:p w14:paraId="74271F5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Namjena plovnog objekta se odnosi na vrstu saobraćaja kojeg obavlja plovilo  -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registrovano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   </w:t>
      </w:r>
    </w:p>
    <w:p w14:paraId="384BB63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5A2B5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pristajanje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p w14:paraId="7E2BCB26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6"/>
        <w:gridCol w:w="1701"/>
        <w:gridCol w:w="2582"/>
        <w:gridCol w:w="1670"/>
      </w:tblGrid>
      <w:tr w:rsidR="00D71A3D" w:rsidRPr="00E07610" w14:paraId="54C02D88" w14:textId="77777777" w:rsidTr="00A14194">
        <w:trPr>
          <w:trHeight w:val="359"/>
        </w:trPr>
        <w:tc>
          <w:tcPr>
            <w:tcW w:w="3376" w:type="dxa"/>
            <w:vMerge w:val="restart"/>
          </w:tcPr>
          <w:p w14:paraId="711D6BE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C1B44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720"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722D80D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rekreaciju</w:t>
            </w:r>
            <w:proofErr w:type="spellEnd"/>
          </w:p>
        </w:tc>
        <w:tc>
          <w:tcPr>
            <w:tcW w:w="4252" w:type="dxa"/>
            <w:gridSpan w:val="2"/>
            <w:vMerge w:val="restart"/>
          </w:tcPr>
          <w:p w14:paraId="56B3FC9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51EEE47B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ne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naplaćuje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</w:t>
            </w:r>
          </w:p>
        </w:tc>
      </w:tr>
      <w:tr w:rsidR="00D71A3D" w:rsidRPr="00E07610" w14:paraId="03EA18D3" w14:textId="77777777" w:rsidTr="00A14194">
        <w:trPr>
          <w:trHeight w:val="365"/>
        </w:trPr>
        <w:tc>
          <w:tcPr>
            <w:tcW w:w="3376" w:type="dxa"/>
            <w:vMerge/>
          </w:tcPr>
          <w:p w14:paraId="6B9F94FE" w14:textId="77777777" w:rsidR="00D71A3D" w:rsidRPr="00E07610" w:rsidRDefault="00D71A3D" w:rsidP="00D71A3D">
            <w:pPr>
              <w:numPr>
                <w:ilvl w:val="0"/>
                <w:numId w:val="18"/>
              </w:numPr>
              <w:autoSpaceDE w:val="0"/>
              <w:autoSpaceDN w:val="0"/>
              <w:spacing w:after="0" w:line="240" w:lineRule="auto"/>
              <w:ind w:right="-284"/>
              <w:contextualSpacing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6423C54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dozvolom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4B53983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252" w:type="dxa"/>
            <w:gridSpan w:val="2"/>
            <w:vMerge/>
          </w:tcPr>
          <w:p w14:paraId="61047ADB" w14:textId="77777777" w:rsidR="00D71A3D" w:rsidRPr="00E07610" w:rsidRDefault="00D71A3D" w:rsidP="00D71A3D">
            <w:pPr>
              <w:spacing w:after="0" w:line="254" w:lineRule="auto"/>
              <w:ind w:left="720"/>
              <w:contextualSpacing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3ABDAAB4" w14:textId="77777777" w:rsidTr="00A14194">
        <w:trPr>
          <w:trHeight w:val="432"/>
        </w:trPr>
        <w:tc>
          <w:tcPr>
            <w:tcW w:w="3376" w:type="dxa"/>
            <w:vMerge w:val="restart"/>
          </w:tcPr>
          <w:p w14:paraId="46C7146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čamce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5E6633F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1E388C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1701" w:type="dxa"/>
          </w:tcPr>
          <w:p w14:paraId="6104220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769A1C3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 w:val="restart"/>
          </w:tcPr>
          <w:p w14:paraId="11385FBE" w14:textId="77777777" w:rsidR="00D71A3D" w:rsidRPr="00E07610" w:rsidRDefault="00D71A3D" w:rsidP="00D71A3D">
            <w:pPr>
              <w:spacing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Naplata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vrši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zadržavanje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20 min</w:t>
            </w:r>
          </w:p>
        </w:tc>
      </w:tr>
      <w:tr w:rsidR="00D71A3D" w:rsidRPr="00E07610" w14:paraId="6F41303E" w14:textId="77777777" w:rsidTr="00A14194">
        <w:trPr>
          <w:trHeight w:val="386"/>
        </w:trPr>
        <w:tc>
          <w:tcPr>
            <w:tcW w:w="3376" w:type="dxa"/>
            <w:vMerge/>
          </w:tcPr>
          <w:p w14:paraId="194A9B7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701" w:type="dxa"/>
          </w:tcPr>
          <w:p w14:paraId="5E3A5F5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10m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2582" w:type="dxa"/>
          </w:tcPr>
          <w:p w14:paraId="00699C2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0,50 €/m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10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+ 0,40€ </w:t>
            </w:r>
          </w:p>
          <w:p w14:paraId="6E973E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svaki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  <w:tc>
          <w:tcPr>
            <w:tcW w:w="1670" w:type="dxa"/>
            <w:vMerge/>
          </w:tcPr>
          <w:p w14:paraId="3B48B4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2418A95" w14:textId="77777777" w:rsidTr="00A14194">
        <w:trPr>
          <w:trHeight w:val="321"/>
        </w:trPr>
        <w:tc>
          <w:tcPr>
            <w:tcW w:w="3376" w:type="dxa"/>
          </w:tcPr>
          <w:p w14:paraId="32E4BEF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upisane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u w:val="single"/>
                <w:lang w:val="en-US" w:eastAsia="sr-Latn-ME"/>
              </w:rPr>
              <w:t>brodove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koji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obavljaju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0C801B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djelatnost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5953" w:type="dxa"/>
            <w:gridSpan w:val="3"/>
          </w:tcPr>
          <w:p w14:paraId="29BA0E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0,40 €/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61D20CC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E1A7898" w14:textId="77777777" w:rsidTr="00A14194">
        <w:trPr>
          <w:trHeight w:val="355"/>
        </w:trPr>
        <w:tc>
          <w:tcPr>
            <w:tcW w:w="3376" w:type="dxa"/>
          </w:tcPr>
          <w:p w14:paraId="376E50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solarni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pogon</w:t>
            </w:r>
            <w:proofErr w:type="spellEnd"/>
          </w:p>
          <w:p w14:paraId="1E212D3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3"/>
          </w:tcPr>
          <w:p w14:paraId="79D0654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0,30 €/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4ACA4DE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29665FD4" w14:textId="77777777" w:rsidTr="00A14194">
        <w:trPr>
          <w:trHeight w:val="199"/>
        </w:trPr>
        <w:tc>
          <w:tcPr>
            <w:tcW w:w="3376" w:type="dxa"/>
          </w:tcPr>
          <w:p w14:paraId="6891407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Ostali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</w:p>
        </w:tc>
        <w:tc>
          <w:tcPr>
            <w:tcW w:w="5953" w:type="dxa"/>
            <w:gridSpan w:val="3"/>
          </w:tcPr>
          <w:p w14:paraId="2763595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u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skladu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tržišnim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principima</w:t>
            </w:r>
            <w:proofErr w:type="spellEnd"/>
          </w:p>
        </w:tc>
      </w:tr>
    </w:tbl>
    <w:p w14:paraId="577714F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</w:p>
    <w:p w14:paraId="1765AED4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0E6C367A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II    VEZIVANJE</w:t>
      </w:r>
    </w:p>
    <w:p w14:paraId="32F0B250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22F1A01" w14:textId="5C412CF5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Prilikom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odobravanja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iznosa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(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čl. 9, tačka 10) Zakona o lukama 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Sl.list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CG, 51/8; 40/11; 27/13; 18/19</w:t>
      </w: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za usluge veza plovila u lukama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od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lokalnog značaja i na ostalim objektima obalne infrastrukture, Javno preduzeće za upravljanje morskim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dobrom Crne Gore, primjenjivaće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sledeće:</w:t>
      </w:r>
    </w:p>
    <w:p w14:paraId="2EA6D2D2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CA82CD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6ACD2C10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a)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</w:p>
    <w:p w14:paraId="5C205A9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b) 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</w:p>
    <w:p w14:paraId="604071E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c)  Tip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235F82D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lastRenderedPageBreak/>
        <w:t xml:space="preserve">d)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organizacije servisa u luci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od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lokalnog značaja, privezištu i drugim objektima obalne infrastrukture</w:t>
      </w:r>
    </w:p>
    <w:p w14:paraId="222B419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e)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Sigurnost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bezbijednost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7080A66E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f)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Dostupnost</w:t>
      </w:r>
      <w:proofErr w:type="spellEnd"/>
    </w:p>
    <w:p w14:paraId="127DC2F9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4B66A21F" w14:textId="629A136A" w:rsidR="00E07610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Namjena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vrsta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saobraćaja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kojeg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, se odnosi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na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vrstu saobraćaja za koju je plovilo registrovano.</w:t>
      </w:r>
    </w:p>
    <w:p w14:paraId="42D954FF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Dužina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odnosi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prostor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zauzima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3271FD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269E8D82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1F4E79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Tip objekta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odnosi na vrstu prihvatnog objekta (luka od lokalnog značaja, ostal objekati obalne infrastrukture).</w:t>
      </w:r>
    </w:p>
    <w:p w14:paraId="4BE7B5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</w:pPr>
    </w:p>
    <w:p w14:paraId="5566BAD5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Opremljenost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organizacije</w:t>
      </w:r>
      <w:proofErr w:type="spellEnd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sz w:val="24"/>
          <w:szCs w:val="24"/>
          <w:lang w:val="en-US" w:eastAsia="sr-Latn-ME"/>
        </w:rPr>
        <w:t>servisa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podrazumijeva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sadržaje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kvaliteta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usluga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raspolaganju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luci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/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5EFD3267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495A5EFC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>Sigurnost i bezbijednost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se odnose na obezbijeđenu tehničku pouzdanost.</w:t>
      </w:r>
    </w:p>
    <w:p w14:paraId="32837535" w14:textId="77777777" w:rsid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</w:pPr>
    </w:p>
    <w:p w14:paraId="77122F90" w14:textId="4B9B58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  <w:lang w:eastAsia="sr-Latn-ME"/>
        </w:rPr>
        <w:t xml:space="preserve">Dostupnost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se odnosi na položaj luke od lokalnog značaja / objekta obalne infrastrukture,  u naselju i širem prostoru i povezanost sa saobraćajnom infrastrukturom na kopnu. </w:t>
      </w:r>
    </w:p>
    <w:p w14:paraId="0FB79A08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*U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skladu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Međunarodnim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pomorskim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konvencijama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je u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obavezi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u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slučaju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jakog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bura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jugo),   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pružiti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zaklon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svim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blizini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posebno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onima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Budva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 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primorani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napustiti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matično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mjesto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do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prestanka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nevremena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119CDBF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49AFF31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</w:t>
      </w:r>
      <w:proofErr w:type="spellEnd"/>
      <w:proofErr w:type="gram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: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važi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zastićenim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djelovima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akvatorijuma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.</w:t>
      </w:r>
    </w:p>
    <w:p w14:paraId="7E0CA691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*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vezove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koji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formirani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izvan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zaštićenih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djelova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zahvata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luka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gram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gram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lokalnog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značaja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privezišta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umanjuje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se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iznosu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od 40%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od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propisanih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>tabeli</w:t>
      </w:r>
      <w:proofErr w:type="spellEnd"/>
      <w:r w:rsidRPr="00E07610">
        <w:rPr>
          <w:rFonts w:ascii="Times New Roman" w:eastAsia="Calibri" w:hAnsi="Times New Roman" w:cs="Times New Roman"/>
          <w:bCs/>
          <w:sz w:val="24"/>
          <w:szCs w:val="24"/>
          <w:lang w:val="en-US" w:eastAsia="sr-Latn-ME"/>
        </w:rPr>
        <w:t xml:space="preserve"> “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</w:p>
    <w:p w14:paraId="465F0F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D8C66B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čiji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objekat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nije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upisan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crnogorski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registar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mjesno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nadležnoj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Lučkoj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kapetaniji-ispostavi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ne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može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biti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korisnik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.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Takođe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vlasnik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plovnog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mora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imati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prebivalište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najmanje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10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godina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području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opštine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kojoj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želi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da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ostvari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pravo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komunalni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.</w:t>
      </w:r>
    </w:p>
    <w:p w14:paraId="6240CB3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B5E95BD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Maksimalna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objekte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registrovane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sport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rekreaciju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obavljanje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djelatnosti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(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prevoz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putnika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privredni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ribolov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):</w:t>
      </w:r>
    </w:p>
    <w:p w14:paraId="06A3433D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3"/>
        <w:gridCol w:w="1162"/>
        <w:gridCol w:w="4804"/>
      </w:tblGrid>
      <w:tr w:rsidR="00D71A3D" w:rsidRPr="00E07610" w14:paraId="23C1D2B9" w14:textId="77777777" w:rsidTr="00A14194">
        <w:trPr>
          <w:trHeight w:val="486"/>
        </w:trPr>
        <w:tc>
          <w:tcPr>
            <w:tcW w:w="3376" w:type="dxa"/>
          </w:tcPr>
          <w:p w14:paraId="40572AE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5m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6B153B5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2892D35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              200 €</w:t>
            </w:r>
          </w:p>
        </w:tc>
      </w:tr>
      <w:tr w:rsidR="00D71A3D" w:rsidRPr="00E07610" w14:paraId="528C5EFD" w14:textId="77777777" w:rsidTr="00A14194">
        <w:trPr>
          <w:trHeight w:val="460"/>
        </w:trPr>
        <w:tc>
          <w:tcPr>
            <w:tcW w:w="3376" w:type="dxa"/>
            <w:vMerge w:val="restart"/>
          </w:tcPr>
          <w:p w14:paraId="5DBDC631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54692E7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228CEA4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260FDDB7" w14:textId="77777777" w:rsidTr="00A14194">
        <w:trPr>
          <w:trHeight w:val="456"/>
        </w:trPr>
        <w:tc>
          <w:tcPr>
            <w:tcW w:w="3376" w:type="dxa"/>
            <w:vMerge/>
          </w:tcPr>
          <w:p w14:paraId="6E2501F3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CC8B2A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5A7A6F6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4470B4C" w14:textId="77777777" w:rsidTr="00A14194">
        <w:trPr>
          <w:trHeight w:val="470"/>
        </w:trPr>
        <w:tc>
          <w:tcPr>
            <w:tcW w:w="3376" w:type="dxa"/>
            <w:vMerge/>
          </w:tcPr>
          <w:p w14:paraId="49B98A8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0416BC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2DE9254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350 €</w:t>
            </w:r>
          </w:p>
        </w:tc>
      </w:tr>
      <w:tr w:rsidR="00D71A3D" w:rsidRPr="00E07610" w14:paraId="2386753A" w14:textId="77777777" w:rsidTr="00A14194">
        <w:trPr>
          <w:trHeight w:val="566"/>
        </w:trPr>
        <w:tc>
          <w:tcPr>
            <w:tcW w:w="3376" w:type="dxa"/>
            <w:vMerge w:val="restart"/>
          </w:tcPr>
          <w:p w14:paraId="148956E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73D78BCB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F1AED92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718D993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4F5FA69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</w:tc>
      </w:tr>
      <w:tr w:rsidR="00D71A3D" w:rsidRPr="00E07610" w14:paraId="237774D4" w14:textId="77777777" w:rsidTr="00A14194">
        <w:trPr>
          <w:trHeight w:val="508"/>
        </w:trPr>
        <w:tc>
          <w:tcPr>
            <w:tcW w:w="3376" w:type="dxa"/>
            <w:vMerge/>
          </w:tcPr>
          <w:p w14:paraId="784BF6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538C07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D3B35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172D747F" w14:textId="77777777" w:rsidTr="00A14194">
        <w:trPr>
          <w:trHeight w:val="416"/>
        </w:trPr>
        <w:tc>
          <w:tcPr>
            <w:tcW w:w="3376" w:type="dxa"/>
            <w:vMerge/>
          </w:tcPr>
          <w:p w14:paraId="38C9BDE9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E8765C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1B57ED0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700 €</w:t>
            </w:r>
          </w:p>
        </w:tc>
      </w:tr>
      <w:tr w:rsidR="00D71A3D" w:rsidRPr="00E07610" w14:paraId="2A993446" w14:textId="77777777" w:rsidTr="00A14194">
        <w:trPr>
          <w:trHeight w:val="403"/>
        </w:trPr>
        <w:tc>
          <w:tcPr>
            <w:tcW w:w="3376" w:type="dxa"/>
            <w:vMerge w:val="restart"/>
          </w:tcPr>
          <w:p w14:paraId="45DAFA2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</w:t>
            </w:r>
          </w:p>
          <w:p w14:paraId="7CBAEDEC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2A46757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6C14298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600€</w:t>
            </w:r>
          </w:p>
          <w:p w14:paraId="5C89B95E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56C05024" w14:textId="77777777" w:rsidTr="00A14194">
        <w:trPr>
          <w:trHeight w:val="532"/>
        </w:trPr>
        <w:tc>
          <w:tcPr>
            <w:tcW w:w="3376" w:type="dxa"/>
            <w:vMerge/>
          </w:tcPr>
          <w:p w14:paraId="5277353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240C237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496785E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  <w:p w14:paraId="2388EB8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1B56ABB" w14:textId="77777777" w:rsidTr="00A14194">
        <w:trPr>
          <w:trHeight w:val="278"/>
        </w:trPr>
        <w:tc>
          <w:tcPr>
            <w:tcW w:w="3376" w:type="dxa"/>
            <w:vMerge/>
          </w:tcPr>
          <w:p w14:paraId="2ACF547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EE81578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88C9E4B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  <w:p w14:paraId="25A18D46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1000 €</w:t>
            </w:r>
          </w:p>
        </w:tc>
      </w:tr>
      <w:tr w:rsidR="00D71A3D" w:rsidRPr="00E07610" w14:paraId="0F2FC38A" w14:textId="77777777" w:rsidTr="00A14194">
        <w:trPr>
          <w:trHeight w:val="489"/>
        </w:trPr>
        <w:tc>
          <w:tcPr>
            <w:tcW w:w="3376" w:type="dxa"/>
            <w:vMerge w:val="restart"/>
          </w:tcPr>
          <w:p w14:paraId="67CC598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</w:p>
          <w:p w14:paraId="259388D4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  <w:p w14:paraId="27F4FF5D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  <w:p w14:paraId="7CF55E29" w14:textId="77777777" w:rsidR="00D71A3D" w:rsidRPr="00E07610" w:rsidRDefault="00D71A3D" w:rsidP="00D71A3D">
            <w:pPr>
              <w:spacing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C2A40C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C0321A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800 €</w:t>
            </w:r>
          </w:p>
        </w:tc>
      </w:tr>
      <w:tr w:rsidR="00D71A3D" w:rsidRPr="00E07610" w14:paraId="7ECD32A5" w14:textId="77777777" w:rsidTr="00A14194">
        <w:trPr>
          <w:trHeight w:val="603"/>
        </w:trPr>
        <w:tc>
          <w:tcPr>
            <w:tcW w:w="3376" w:type="dxa"/>
            <w:vMerge/>
          </w:tcPr>
          <w:p w14:paraId="366D48D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19914E48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7674EDA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1600 €</w:t>
            </w:r>
          </w:p>
        </w:tc>
      </w:tr>
      <w:tr w:rsidR="00D71A3D" w:rsidRPr="00E07610" w14:paraId="613A449C" w14:textId="77777777" w:rsidTr="00A14194">
        <w:trPr>
          <w:trHeight w:val="240"/>
        </w:trPr>
        <w:tc>
          <w:tcPr>
            <w:tcW w:w="3376" w:type="dxa"/>
            <w:vMerge/>
          </w:tcPr>
          <w:p w14:paraId="211CD93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6AC58411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 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6687AC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1200 €</w:t>
            </w:r>
          </w:p>
        </w:tc>
      </w:tr>
      <w:tr w:rsidR="00D71A3D" w:rsidRPr="00E07610" w14:paraId="275A70D3" w14:textId="77777777" w:rsidTr="00A14194">
        <w:trPr>
          <w:trHeight w:val="199"/>
        </w:trPr>
        <w:tc>
          <w:tcPr>
            <w:tcW w:w="3376" w:type="dxa"/>
          </w:tcPr>
          <w:p w14:paraId="1366F03D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katamarani</w:t>
            </w:r>
            <w:proofErr w:type="spellEnd"/>
          </w:p>
          <w:p w14:paraId="6F1B064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5953" w:type="dxa"/>
            <w:gridSpan w:val="2"/>
          </w:tcPr>
          <w:p w14:paraId="7ACD0C36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Cijena se </w:t>
            </w:r>
            <w:r w:rsidRPr="00E0761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sr-Latn-ME"/>
              </w:rPr>
              <w:t>uvećava u iznosu za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 xml:space="preserve"> u odnosu na ostale plovne objekte</w:t>
            </w:r>
          </w:p>
        </w:tc>
      </w:tr>
      <w:tr w:rsidR="00D71A3D" w:rsidRPr="00E07610" w14:paraId="33310496" w14:textId="77777777" w:rsidTr="00A14194">
        <w:trPr>
          <w:trHeight w:val="199"/>
        </w:trPr>
        <w:tc>
          <w:tcPr>
            <w:tcW w:w="3376" w:type="dxa"/>
          </w:tcPr>
          <w:p w14:paraId="53A7163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izrađeni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od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drveta</w:t>
            </w:r>
            <w:proofErr w:type="spellEnd"/>
          </w:p>
        </w:tc>
        <w:tc>
          <w:tcPr>
            <w:tcW w:w="5953" w:type="dxa"/>
            <w:gridSpan w:val="2"/>
          </w:tcPr>
          <w:p w14:paraId="4C0BDB00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50%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7DDD707A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7A89C987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7112152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77381BD4" w14:textId="77777777" w:rsidR="00AB6DF3" w:rsidRPr="00E07610" w:rsidRDefault="00AB6DF3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9BB3703" w14:textId="77777777" w:rsidR="00D71A3D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III </w:t>
      </w:r>
      <w:proofErr w:type="gram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SUVI  VEZ</w:t>
      </w:r>
      <w:proofErr w:type="gram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</w:p>
    <w:p w14:paraId="78343948" w14:textId="77777777" w:rsidR="00E07610" w:rsidRPr="00E07610" w:rsidRDefault="00E07610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2E3A503F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Boravak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plovnih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objekata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</w:t>
      </w:r>
      <w:proofErr w:type="spellEnd"/>
      <w:proofErr w:type="gram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suvom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88" w:type="dxa"/>
        <w:tblInd w:w="-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88"/>
      </w:tblGrid>
      <w:tr w:rsidR="00D71A3D" w:rsidRPr="00E07610" w14:paraId="24C359C2" w14:textId="77777777" w:rsidTr="00A14194">
        <w:trPr>
          <w:trHeight w:val="278"/>
        </w:trPr>
        <w:tc>
          <w:tcPr>
            <w:tcW w:w="9388" w:type="dxa"/>
          </w:tcPr>
          <w:p w14:paraId="0E2558C8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2 €/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2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zauzetog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prostora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suvom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vezu</w:t>
            </w:r>
            <w:proofErr w:type="spellEnd"/>
          </w:p>
          <w:p w14:paraId="49CBA69B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1AA3CB7E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40B907B0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IV SIDRENJE</w:t>
      </w:r>
    </w:p>
    <w:p w14:paraId="1568CFCC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Lokacije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akvatorijumu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 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opremljene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napravama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vez</w:t>
      </w:r>
      <w:proofErr w:type="spellEnd"/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:</w:t>
      </w:r>
    </w:p>
    <w:tbl>
      <w:tblPr>
        <w:tblW w:w="9329" w:type="dxa"/>
        <w:tblInd w:w="-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62"/>
        <w:gridCol w:w="1162"/>
        <w:gridCol w:w="4805"/>
      </w:tblGrid>
      <w:tr w:rsidR="00D71A3D" w:rsidRPr="00E07610" w14:paraId="294BBF87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70F87BF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</w:tc>
        <w:tc>
          <w:tcPr>
            <w:tcW w:w="1123" w:type="dxa"/>
          </w:tcPr>
          <w:p w14:paraId="07B83E5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23C95C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80 €</w:t>
            </w:r>
          </w:p>
        </w:tc>
      </w:tr>
      <w:tr w:rsidR="00D71A3D" w:rsidRPr="00E07610" w14:paraId="799C4FF7" w14:textId="77777777" w:rsidTr="00A14194">
        <w:trPr>
          <w:trHeight w:val="538"/>
        </w:trPr>
        <w:tc>
          <w:tcPr>
            <w:tcW w:w="3376" w:type="dxa"/>
            <w:vMerge/>
          </w:tcPr>
          <w:p w14:paraId="59FF60A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52BD2DE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6D454D3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6B00429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09C0F6A0" w14:textId="77777777" w:rsidTr="00A14194">
        <w:trPr>
          <w:trHeight w:val="470"/>
        </w:trPr>
        <w:tc>
          <w:tcPr>
            <w:tcW w:w="3376" w:type="dxa"/>
            <w:vMerge/>
          </w:tcPr>
          <w:p w14:paraId="7CB4A3F9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903815E" w14:textId="77777777" w:rsidR="00D71A3D" w:rsidRPr="00E07610" w:rsidRDefault="00D71A3D" w:rsidP="00D71A3D">
            <w:pPr>
              <w:spacing w:after="0" w:line="259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686BB01" w14:textId="77777777" w:rsidR="00D71A3D" w:rsidRPr="00E07610" w:rsidRDefault="00D71A3D" w:rsidP="00D71A3D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D8777E2" w14:textId="77777777" w:rsidTr="00A14194">
        <w:trPr>
          <w:trHeight w:val="307"/>
        </w:trPr>
        <w:tc>
          <w:tcPr>
            <w:tcW w:w="3376" w:type="dxa"/>
            <w:vMerge w:val="restart"/>
          </w:tcPr>
          <w:p w14:paraId="4AC202C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7m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do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 </w:t>
            </w:r>
          </w:p>
          <w:p w14:paraId="0FF0B3E2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0318BB1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27C8CDA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150 €</w:t>
            </w:r>
          </w:p>
        </w:tc>
      </w:tr>
      <w:tr w:rsidR="00D71A3D" w:rsidRPr="00E07610" w14:paraId="5B8F2EC5" w14:textId="77777777" w:rsidTr="00A14194">
        <w:trPr>
          <w:trHeight w:val="557"/>
        </w:trPr>
        <w:tc>
          <w:tcPr>
            <w:tcW w:w="3376" w:type="dxa"/>
            <w:vMerge/>
          </w:tcPr>
          <w:p w14:paraId="310EF39E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25A4B810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3B35F21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1F96142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579FA2B" w14:textId="77777777" w:rsidTr="00A14194">
        <w:trPr>
          <w:trHeight w:val="566"/>
        </w:trPr>
        <w:tc>
          <w:tcPr>
            <w:tcW w:w="3376" w:type="dxa"/>
            <w:vMerge/>
          </w:tcPr>
          <w:p w14:paraId="1F02344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29C532C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22F8E7C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200 €</w:t>
            </w:r>
          </w:p>
        </w:tc>
      </w:tr>
      <w:tr w:rsidR="00D71A3D" w:rsidRPr="00E07610" w14:paraId="6F13CF89" w14:textId="77777777" w:rsidTr="00A14194">
        <w:trPr>
          <w:trHeight w:val="463"/>
        </w:trPr>
        <w:tc>
          <w:tcPr>
            <w:tcW w:w="3376" w:type="dxa"/>
            <w:vMerge w:val="restart"/>
          </w:tcPr>
          <w:p w14:paraId="137F3CA2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lastRenderedPageBreak/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  <w:p w14:paraId="1345D3B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15"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do 15 BT</w:t>
            </w:r>
          </w:p>
        </w:tc>
        <w:tc>
          <w:tcPr>
            <w:tcW w:w="1123" w:type="dxa"/>
          </w:tcPr>
          <w:p w14:paraId="78D8DF0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32F15342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250 €</w:t>
            </w:r>
          </w:p>
        </w:tc>
      </w:tr>
      <w:tr w:rsidR="00D71A3D" w:rsidRPr="00E07610" w14:paraId="1B04AD79" w14:textId="77777777" w:rsidTr="00A14194">
        <w:trPr>
          <w:trHeight w:val="599"/>
        </w:trPr>
        <w:tc>
          <w:tcPr>
            <w:tcW w:w="3376" w:type="dxa"/>
            <w:vMerge/>
          </w:tcPr>
          <w:p w14:paraId="660D9C53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3333092D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</w:p>
          <w:p w14:paraId="47F3C1D6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6D601B50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</w:tc>
      </w:tr>
      <w:tr w:rsidR="00D71A3D" w:rsidRPr="00E07610" w14:paraId="44D99569" w14:textId="77777777" w:rsidTr="00A14194">
        <w:trPr>
          <w:trHeight w:val="278"/>
        </w:trPr>
        <w:tc>
          <w:tcPr>
            <w:tcW w:w="3376" w:type="dxa"/>
            <w:vMerge/>
          </w:tcPr>
          <w:p w14:paraId="1D7FB388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47172134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5D619597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300 €</w:t>
            </w:r>
          </w:p>
          <w:p w14:paraId="03B4A98F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746FB933" w14:textId="77777777" w:rsidTr="00A14194">
        <w:trPr>
          <w:trHeight w:val="588"/>
        </w:trPr>
        <w:tc>
          <w:tcPr>
            <w:tcW w:w="3376" w:type="dxa"/>
            <w:vMerge w:val="restart"/>
          </w:tcPr>
          <w:p w14:paraId="6A45BB6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plovne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objekte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12 m</w:t>
            </w: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vertAlign w:val="superscript"/>
                <w:lang w:val="en-US" w:eastAsia="sr-Latn-ME"/>
              </w:rPr>
              <w:t xml:space="preserve">1 </w:t>
            </w:r>
          </w:p>
          <w:p w14:paraId="10334B9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preko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15 BT</w:t>
            </w:r>
          </w:p>
        </w:tc>
        <w:tc>
          <w:tcPr>
            <w:tcW w:w="1123" w:type="dxa"/>
          </w:tcPr>
          <w:p w14:paraId="1AE7AC49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sport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rekreacija</w:t>
            </w:r>
            <w:proofErr w:type="spellEnd"/>
          </w:p>
        </w:tc>
        <w:tc>
          <w:tcPr>
            <w:tcW w:w="4830" w:type="dxa"/>
          </w:tcPr>
          <w:p w14:paraId="44C92A7C" w14:textId="77777777" w:rsidR="00D71A3D" w:rsidRPr="00E07610" w:rsidRDefault="00D71A3D" w:rsidP="00D71A3D">
            <w:pPr>
              <w:tabs>
                <w:tab w:val="center" w:pos="2307"/>
              </w:tabs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400 €</w:t>
            </w:r>
          </w:p>
        </w:tc>
      </w:tr>
      <w:tr w:rsidR="00D71A3D" w:rsidRPr="00E07610" w14:paraId="61E007BC" w14:textId="77777777" w:rsidTr="00A14194">
        <w:trPr>
          <w:trHeight w:val="758"/>
        </w:trPr>
        <w:tc>
          <w:tcPr>
            <w:tcW w:w="3376" w:type="dxa"/>
            <w:vMerge/>
          </w:tcPr>
          <w:p w14:paraId="7D20D7C7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7002F00A" w14:textId="77777777" w:rsidR="00D71A3D" w:rsidRPr="00E07610" w:rsidRDefault="00D71A3D" w:rsidP="00D71A3D">
            <w:pPr>
              <w:spacing w:after="0" w:line="254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prevoz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putnika</w:t>
            </w:r>
            <w:proofErr w:type="spellEnd"/>
          </w:p>
        </w:tc>
        <w:tc>
          <w:tcPr>
            <w:tcW w:w="4830" w:type="dxa"/>
          </w:tcPr>
          <w:p w14:paraId="3BBFAE7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95B8D1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  <w:tr w:rsidR="00D71A3D" w:rsidRPr="00E07610" w14:paraId="4CE73B80" w14:textId="77777777" w:rsidTr="00A14194">
        <w:trPr>
          <w:trHeight w:val="240"/>
        </w:trPr>
        <w:tc>
          <w:tcPr>
            <w:tcW w:w="3376" w:type="dxa"/>
            <w:vMerge/>
          </w:tcPr>
          <w:p w14:paraId="6A95A105" w14:textId="77777777" w:rsidR="00D71A3D" w:rsidRPr="00E07610" w:rsidRDefault="00D71A3D" w:rsidP="00D71A3D">
            <w:pPr>
              <w:tabs>
                <w:tab w:val="left" w:pos="2266"/>
              </w:tabs>
              <w:autoSpaceDE w:val="0"/>
              <w:autoSpaceDN w:val="0"/>
              <w:spacing w:after="0" w:line="240" w:lineRule="auto"/>
              <w:ind w:right="-284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  <w:tc>
          <w:tcPr>
            <w:tcW w:w="1123" w:type="dxa"/>
          </w:tcPr>
          <w:p w14:paraId="094F21F9" w14:textId="77777777" w:rsidR="00D71A3D" w:rsidRPr="00E07610" w:rsidRDefault="00D71A3D" w:rsidP="00D71A3D">
            <w:pPr>
              <w:autoSpaceDE w:val="0"/>
              <w:autoSpaceDN w:val="0"/>
              <w:spacing w:after="120" w:line="240" w:lineRule="auto"/>
              <w:ind w:right="-284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privredni</w:t>
            </w:r>
            <w:proofErr w:type="spellEnd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ribolov</w:t>
            </w:r>
            <w:proofErr w:type="spellEnd"/>
          </w:p>
        </w:tc>
        <w:tc>
          <w:tcPr>
            <w:tcW w:w="4830" w:type="dxa"/>
          </w:tcPr>
          <w:p w14:paraId="3BD7092D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  <w:t>500 €</w:t>
            </w:r>
          </w:p>
          <w:p w14:paraId="4387D445" w14:textId="77777777" w:rsidR="00D71A3D" w:rsidRPr="00E07610" w:rsidRDefault="00D71A3D" w:rsidP="00D71A3D">
            <w:pPr>
              <w:spacing w:after="0" w:line="259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 w:eastAsia="sr-Latn-ME"/>
              </w:rPr>
            </w:pPr>
          </w:p>
        </w:tc>
      </w:tr>
    </w:tbl>
    <w:p w14:paraId="5DE26E92" w14:textId="77777777" w:rsidR="00D71A3D" w:rsidRPr="00E07610" w:rsidRDefault="00D71A3D" w:rsidP="00D71A3D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52B8C568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  <w:t>V USLUGA UPOTREBE DIZALICE/NAVOZA</w:t>
      </w:r>
    </w:p>
    <w:p w14:paraId="068686DB" w14:textId="77777777" w:rsidR="00E07610" w:rsidRPr="00E07610" w:rsidRDefault="00E07610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p w14:paraId="157A15F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en-US" w:eastAsia="sr-Latn-ME"/>
        </w:rPr>
      </w:pPr>
    </w:p>
    <w:tbl>
      <w:tblPr>
        <w:tblW w:w="9632" w:type="dxa"/>
        <w:tblInd w:w="-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3"/>
        <w:gridCol w:w="5529"/>
      </w:tblGrid>
      <w:tr w:rsidR="00D71A3D" w:rsidRPr="00E07610" w14:paraId="3CADC88A" w14:textId="77777777" w:rsidTr="00A14194">
        <w:trPr>
          <w:trHeight w:val="374"/>
        </w:trPr>
        <w:tc>
          <w:tcPr>
            <w:tcW w:w="4103" w:type="dxa"/>
          </w:tcPr>
          <w:p w14:paraId="07A9E094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Dizalica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B194F8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350DC07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529" w:type="dxa"/>
          </w:tcPr>
          <w:p w14:paraId="6B9E8DAB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3 €/m</w:t>
            </w: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vertAlign w:val="superscript"/>
                <w:lang w:val="en-US" w:eastAsia="sr-Latn-ME"/>
              </w:rPr>
              <w:t>1</w:t>
            </w:r>
          </w:p>
        </w:tc>
      </w:tr>
      <w:tr w:rsidR="00D71A3D" w:rsidRPr="00E07610" w14:paraId="02567225" w14:textId="77777777" w:rsidTr="00A14194">
        <w:trPr>
          <w:trHeight w:val="422"/>
        </w:trPr>
        <w:tc>
          <w:tcPr>
            <w:tcW w:w="4103" w:type="dxa"/>
          </w:tcPr>
          <w:p w14:paraId="71F333DE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Navoz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</w:p>
          <w:p w14:paraId="1A19AE68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(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vršenju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operacije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podizanja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/</w:t>
            </w:r>
          </w:p>
          <w:p w14:paraId="66448ED7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spuštanja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plovnog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objekta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)</w:t>
            </w:r>
          </w:p>
        </w:tc>
        <w:tc>
          <w:tcPr>
            <w:tcW w:w="5529" w:type="dxa"/>
          </w:tcPr>
          <w:p w14:paraId="6F28BDBF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right="-284"/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cijena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se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umanjuje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iznosu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>za</w:t>
            </w:r>
            <w:proofErr w:type="spellEnd"/>
            <w:r w:rsidRPr="00E0761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  <w:t xml:space="preserve"> 20%</w:t>
            </w:r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u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odnosu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na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vrijednosti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 xml:space="preserve"> </w:t>
            </w:r>
          </w:p>
          <w:p w14:paraId="09043AF5" w14:textId="77777777" w:rsidR="00D71A3D" w:rsidRPr="00E07610" w:rsidRDefault="00D71A3D" w:rsidP="00D71A3D">
            <w:pPr>
              <w:autoSpaceDE w:val="0"/>
              <w:autoSpaceDN w:val="0"/>
              <w:spacing w:after="0" w:line="240" w:lineRule="auto"/>
              <w:ind w:left="134" w:right="-284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sr-Latn-ME"/>
              </w:rPr>
            </w:pPr>
            <w:proofErr w:type="spellStart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val="en-US" w:eastAsia="sr-Latn-ME"/>
              </w:rPr>
              <w:t>utv</w:t>
            </w:r>
            <w:proofErr w:type="spellEnd"/>
            <w:r w:rsidRPr="00E07610">
              <w:rPr>
                <w:rFonts w:ascii="Times New Roman" w:eastAsia="Calibri" w:hAnsi="Times New Roman" w:cs="Times New Roman"/>
                <w:sz w:val="24"/>
                <w:szCs w:val="24"/>
                <w:lang w:eastAsia="sr-Latn-ME"/>
              </w:rPr>
              <w:t>rđene u prethodnim stavkama</w:t>
            </w:r>
          </w:p>
        </w:tc>
      </w:tr>
    </w:tbl>
    <w:p w14:paraId="49659E34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</w:p>
    <w:p w14:paraId="5A73038A" w14:textId="77777777" w:rsidR="00D71A3D" w:rsidRPr="00E07610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</w:pPr>
      <w:r w:rsidRPr="00E07610">
        <w:rPr>
          <w:rFonts w:ascii="Times New Roman" w:eastAsia="Calibri" w:hAnsi="Times New Roman" w:cs="Times New Roman"/>
          <w:b/>
          <w:bCs/>
          <w:color w:val="FF0000"/>
          <w:sz w:val="24"/>
          <w:szCs w:val="24"/>
          <w:lang w:val="en-US" w:eastAsia="sr-Latn-ME"/>
        </w:rPr>
        <w:t xml:space="preserve">    </w:t>
      </w:r>
      <w:bookmarkStart w:id="0" w:name="_Hlk957963"/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Imajući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u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vidu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Kriterijume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razrađene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kroz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poglavlja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I, II, III, IV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V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visina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naknade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bookmarkEnd w:id="0"/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za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plovila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korišćenje veza u lukama </w:t>
      </w:r>
      <w:proofErr w:type="gramStart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od</w:t>
      </w:r>
      <w:proofErr w:type="gramEnd"/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lokalnog značaja, pristaništima, privezištima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drugim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, 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uređenim i opremljenim sidrištima</w:t>
      </w:r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označenim a neuređenim sidrištima, </w:t>
      </w:r>
      <w:proofErr w:type="spellStart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određivaće</w:t>
      </w:r>
      <w:proofErr w:type="spellEnd"/>
      <w:r w:rsidRPr="00E07610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se </w:t>
      </w:r>
      <w:r w:rsidRP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>u skladu sa tržišnim principima poslovanja koncesionara, zakupca – operatera.</w:t>
      </w:r>
    </w:p>
    <w:p w14:paraId="095B9D07" w14:textId="77777777" w:rsid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10B1E8BA" w14:textId="77777777" w:rsidR="00D71A3D" w:rsidRPr="00D71A3D" w:rsidRDefault="00D71A3D" w:rsidP="00D71A3D">
      <w:pPr>
        <w:autoSpaceDE w:val="0"/>
        <w:autoSpaceDN w:val="0"/>
        <w:spacing w:after="0" w:line="240" w:lineRule="auto"/>
        <w:ind w:right="-284"/>
        <w:jc w:val="both"/>
        <w:rPr>
          <w:rFonts w:eastAsia="Calibri" w:cstheme="minorHAnsi"/>
          <w:b/>
          <w:bCs/>
          <w:color w:val="1F4E79"/>
          <w:lang w:val="en-US" w:eastAsia="sr-Latn-ME"/>
        </w:rPr>
      </w:pPr>
    </w:p>
    <w:p w14:paraId="7DB16849" w14:textId="77777777" w:rsidR="00F64626" w:rsidRPr="00C25D34" w:rsidRDefault="00F64626" w:rsidP="00F64626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Izabrani ponuđač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hr-HR"/>
        </w:rPr>
        <w:t>/korisnik pristaništa/privezišta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je dužan:</w:t>
      </w:r>
    </w:p>
    <w:p w14:paraId="19FABF9E" w14:textId="77777777" w:rsidR="00F64626" w:rsidRPr="00C25D34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4F3873E0" w14:textId="77777777" w:rsidR="00E07610" w:rsidRDefault="00F64626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navedenih Kriterijuma </w:t>
      </w: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naknada za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</w:t>
      </w:r>
      <w:r w:rsidR="00E07610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5C27882D" w14:textId="77777777" w:rsidR="00E07610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plovila u lukama od lokalnog značaja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koji su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14:paraId="13A24ED2" w14:textId="77777777" w:rsidR="00E07610" w:rsidRPr="00232183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usvojeni od strane Upravnog odbora Javnog preduzeća broj: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 xml:space="preserve">0203-638/6-1 </w:t>
      </w: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95D70E" w14:textId="7A1B5CAC" w:rsidR="00E957CE" w:rsidRDefault="00E07610" w:rsidP="00E07610">
      <w:pPr>
        <w:autoSpaceDE w:val="0"/>
        <w:autoSpaceDN w:val="0"/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3218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232183">
        <w:rPr>
          <w:rFonts w:ascii="Times New Roman" w:eastAsia="Calibri" w:hAnsi="Times New Roman" w:cs="Times New Roman"/>
          <w:sz w:val="24"/>
          <w:szCs w:val="24"/>
        </w:rPr>
        <w:t>od  15.02.2019.godine,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06BF273A" w14:textId="77777777" w:rsidR="00E07610" w:rsidRDefault="00F64626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pridržavati se Uslova za opremanje i održavanje reda na pristaništu/privezištu koje izdaje Javno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66818F0" w14:textId="239FBF89" w:rsidR="00F64626" w:rsidRPr="00C25D34" w:rsidRDefault="00E07610" w:rsidP="00E07610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preduzeće za upravljanje morskim dobrom, </w:t>
      </w:r>
    </w:p>
    <w:p w14:paraId="4E4F2913" w14:textId="77777777" w:rsidR="00E07610" w:rsidRDefault="00F64626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hr-HR"/>
        </w:rPr>
        <w:t xml:space="preserve">- prije početka obavljanja djelatnosti dostaviti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Cjenovnik usluga koji će odobriti Javno preduzeće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7507BA9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upravljanje  morskim dobrom na osnovu Izmjena i dopuna kriterijuma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za određivanje visine </w:t>
      </w: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</w:t>
      </w:r>
    </w:p>
    <w:p w14:paraId="76D2E5E1" w14:textId="77777777" w:rsidR="00E07610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 w:eastAsia="sr-Latn-ME"/>
        </w:rPr>
      </w:pPr>
      <w:r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naknada za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pristajanje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vez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 xml:space="preserve">ivanje plovila u lukama od lokalnog značaja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na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ostalim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objektima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</w:p>
    <w:p w14:paraId="42919BC2" w14:textId="41DDCF9C" w:rsidR="00F64626" w:rsidRPr="00C25D34" w:rsidRDefault="00E07610" w:rsidP="00F64626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proofErr w:type="gram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obalne</w:t>
      </w:r>
      <w:proofErr w:type="spellEnd"/>
      <w:proofErr w:type="gram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 xml:space="preserve"> </w:t>
      </w:r>
      <w:proofErr w:type="spellStart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infrastrukture</w:t>
      </w:r>
      <w:proofErr w:type="spellEnd"/>
      <w:r w:rsidR="00F12431">
        <w:rPr>
          <w:rFonts w:ascii="Times New Roman" w:eastAsia="Calibri" w:hAnsi="Times New Roman" w:cs="Times New Roman"/>
          <w:sz w:val="24"/>
          <w:szCs w:val="24"/>
          <w:lang w:val="en-US" w:eastAsia="sr-Latn-ME"/>
        </w:rPr>
        <w:t>,</w:t>
      </w:r>
    </w:p>
    <w:p w14:paraId="671142E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3FB70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VI 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Sadržaj prijave</w:t>
      </w:r>
    </w:p>
    <w:p w14:paraId="535DB36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 Prijava obavezno sadrži:</w:t>
      </w:r>
    </w:p>
    <w:p w14:paraId="4CB950A9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Podatke o ponuđaču i dokaze o podobnosti ponuđača: </w:t>
      </w:r>
    </w:p>
    <w:p w14:paraId="7C584B1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6.1.1.Za fizička lica:</w:t>
      </w:r>
    </w:p>
    <w:p w14:paraId="0DE3C82A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-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Ime i prezime ponuđača sa adresom prebivališta, odnosno boravišta i brojem kontakt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2118232B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telefona,  Izjavu o prihvatanju svih uslova i obaveza iz Javnog poziva, kao i izjavu-saglasnost da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6245C08B" w14:textId="32E8E148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se lični podaci obrađuju u postupku, odnosno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Obrazac A Javnog preduzeća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, </w:t>
      </w:r>
    </w:p>
    <w:p w14:paraId="28F872D5" w14:textId="77777777" w:rsidR="00F64626" w:rsidRPr="00C25D3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fotokopija lične karte/pasoša sa jedinstvenim matičnim brojem,  </w:t>
      </w:r>
    </w:p>
    <w:p w14:paraId="397E18FE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 </w:t>
      </w:r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7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5E5A2327" w14:textId="2E21EE6D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pl-PL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proofErr w:type="gram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za</w:t>
      </w:r>
      <w:proofErr w:type="spell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period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od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sprovođenja aukcije (licitacije),</w:t>
      </w:r>
    </w:p>
    <w:p w14:paraId="43037DD6" w14:textId="77777777" w:rsidR="00F64626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-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uvjerenje mjesno nadležnog Osnovnog suda da  se protiv ponuđača ne vodi krivični postupak,</w:t>
      </w:r>
    </w:p>
    <w:p w14:paraId="40F4AF6D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7FF5F7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6.1.2. Za privredna društva, pravna lica ili preduzetnike</w:t>
      </w:r>
      <w:r w:rsidRPr="00C25D34">
        <w:rPr>
          <w:rFonts w:ascii="Times New Roman" w:eastAsia="Calibri" w:hAnsi="Times New Roman" w:cs="Times New Roman"/>
          <w:sz w:val="24"/>
          <w:szCs w:val="24"/>
        </w:rPr>
        <w:t>:</w:t>
      </w:r>
    </w:p>
    <w:p w14:paraId="00ABACBC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Naziv  i adresu sjedišta, Izjavu o prihvatanju svih uslova i obaveza iz Javnog poziva, kao i izjavu-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1AFD770D" w14:textId="20E103C1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saglasnost da se lični podaci obrađuju u postupku, odnosno 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Obrazac A Javnog preduzeća; </w:t>
      </w:r>
    </w:p>
    <w:p w14:paraId="56B56E6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dokaz o registraciji (Izvod iz CRPS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sa podacima o ovlašćenim licima ponuđača </w:t>
      </w:r>
      <w:r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ne stariji od</w:t>
      </w:r>
      <w:r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6 </w:t>
      </w:r>
      <w:r w:rsidR="00E07610"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</w:t>
      </w:r>
    </w:p>
    <w:p w14:paraId="08CCF116" w14:textId="26C139D3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hi-IN"/>
        </w:rPr>
      </w:pPr>
      <w:r>
        <w:rPr>
          <w:rFonts w:ascii="Times New Roman" w:eastAsia="Calibri" w:hAnsi="Times New Roman" w:cs="Times New Roman"/>
          <w:sz w:val="24"/>
          <w:szCs w:val="24"/>
          <w:lang w:eastAsia="hi-IN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ru-RU" w:eastAsia="hi-IN"/>
        </w:rPr>
        <w:t>mjeseci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eastAsia="hi-IN"/>
        </w:rPr>
        <w:t>),</w:t>
      </w:r>
    </w:p>
    <w:p w14:paraId="394997C8" w14:textId="5DD40E2B" w:rsidR="00446F54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rješenje o PIB pravnog lica/preduzetnika, </w:t>
      </w:r>
    </w:p>
    <w:p w14:paraId="7F0B6481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rješenje o registraciji PDV-a, ukoliko je ponuđač obveznik PDV-a, ukoliko ponuđač nije 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3EE31B94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obveznik PDV-a dužan je da dostavi potvrdu od Poreske uprave Crne Gore da ponuđač nije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5750B5BC" w14:textId="58A87B2E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obveznik PDV-a, </w:t>
      </w:r>
    </w:p>
    <w:p w14:paraId="528A781D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 uvjerenje mjesno nadležnog Osnovnog suda da  se protiv 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privrednog društva, pravnog lica 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 </w:t>
      </w:r>
    </w:p>
    <w:p w14:paraId="4E58E495" w14:textId="1160FC2B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odgovornog lica u pravnom licu ne vodi krivični postupak,</w:t>
      </w:r>
    </w:p>
    <w:p w14:paraId="50B6B3F2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privredno društvo, pravno lice/preduzetnik ne nalazi u </w:t>
      </w:r>
      <w:r w:rsidR="00E07610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</w:t>
      </w:r>
    </w:p>
    <w:p w14:paraId="450920CB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kaznenoj  evidenciji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460890" w14:textId="37B83398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korupcije, pranja 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30A0298F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 u</w:t>
      </w: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vjerenje Ministarstva pravde da se odgovorno lice u privrednom društvu, pravnom licu ne nalazi </w:t>
      </w:r>
    </w:p>
    <w:p w14:paraId="62ECFFF2" w14:textId="77777777" w:rsidR="00E07610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 xml:space="preserve">u kaznenoj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za neko od krivičnih djela organizovanog kriminala sa elementima korupcije, pranja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70C34D62" w14:textId="303B4905" w:rsidR="00F64626" w:rsidRPr="00C25D34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novca i prevare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, </w:t>
      </w:r>
    </w:p>
    <w:p w14:paraId="0F299A1A" w14:textId="77777777" w:rsidR="00E07610" w:rsidRDefault="00F64626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</w:t>
      </w:r>
      <w:r w:rsidR="00E0761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C25D34">
        <w:rPr>
          <w:rFonts w:ascii="Times New Roman" w:eastAsia="Calibri" w:hAnsi="Times New Roman" w:cs="Times New Roman"/>
          <w:sz w:val="24"/>
          <w:szCs w:val="24"/>
        </w:rPr>
        <w:t>p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otvrda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Poreske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uprave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uredno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izvr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š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ene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sve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obaveze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osnovu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pla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ć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poreza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doprinosa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E0761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</w:p>
    <w:p w14:paraId="0F7C96F9" w14:textId="6C2BC582" w:rsidR="00F64626" w:rsidRDefault="00E07610" w:rsidP="00E07610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 </w:t>
      </w:r>
      <w:proofErr w:type="spellStart"/>
      <w:proofErr w:type="gramStart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>za</w:t>
      </w:r>
      <w:proofErr w:type="spellEnd"/>
      <w:proofErr w:type="gramEnd"/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period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 xml:space="preserve">90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dana 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od dana sprovođenja aukcije ( licitacije)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B0EF332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</w:pPr>
    </w:p>
    <w:p w14:paraId="39B8975D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sr-Latn-RS" w:eastAsia="sr-Latn-CS"/>
        </w:rPr>
        <w:t>Ukoliko je ponuđač strano pravno lice dokumentaciju iz tačke 6.1.2 alineje 2, 3, 4, 5, 6 i 7. izdatu od nadležnog organa iz države u kojoj je osnovano društvo, dužan je dostaviti prevedenu na crnogorski jezik, ovjerenu od strane sudskog tumača.</w:t>
      </w:r>
    </w:p>
    <w:p w14:paraId="79939A81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6.2.</w:t>
      </w:r>
      <w:r w:rsidRPr="00C25D34">
        <w:rPr>
          <w:rFonts w:ascii="Times New Roman" w:eastAsia="Calibri" w:hAnsi="Times New Roman" w:cs="Times New Roman"/>
          <w:sz w:val="24"/>
          <w:szCs w:val="24"/>
        </w:rPr>
        <w:t> 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Originalnu bankarsku garanciju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 ponude  koja mora biti bezuslovna, „bez prigovora“ i naplativa na prvi poziv sa rokom važenja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minimum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90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dana od dana 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2E9B5142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Iznos bankarske garancije ne može biti manji od visine početne cijene zakupnine/naknade za korišćenje morskog dobra određene Javnim pozivom. </w:t>
      </w:r>
    </w:p>
    <w:p w14:paraId="06E1CAA8" w14:textId="77777777" w:rsidR="00A42740" w:rsidRDefault="00A4274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</w:pPr>
    </w:p>
    <w:p w14:paraId="17891756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6.3. </w:t>
      </w:r>
      <w:r w:rsidRPr="00C25D34"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l-SI"/>
        </w:rPr>
        <w:t>Naznaku za koje pristanište se podnosi prijava.</w:t>
      </w:r>
    </w:p>
    <w:p w14:paraId="6794AA51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151073A" w14:textId="77777777" w:rsidR="00F64626" w:rsidRDefault="00D80DA5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6.4. Ponude se dostavljaju na c</w:t>
      </w:r>
      <w:r w:rsidR="00F64626"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rnogorskom jeziku.</w:t>
      </w:r>
    </w:p>
    <w:p w14:paraId="1C8EEC67" w14:textId="3152F9BB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6.5.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Potrebni dokazi (osim fotokopije lične karte) dostavljaju se u formi originala ili ovjerene fotokopije. Dokazi ne smiju da budu stariji od šest mjeseci od dana sprovođenja aukcije, osim Rješenja o registraciji PDV-a</w:t>
      </w:r>
      <w:r w:rsidR="00761A3D">
        <w:rPr>
          <w:rFonts w:ascii="Times New Roman" w:eastAsia="Calibri" w:hAnsi="Times New Roman" w:cs="Times New Roman"/>
          <w:sz w:val="24"/>
          <w:szCs w:val="24"/>
        </w:rPr>
        <w:t>, Rješenja o registraciji za PIB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i druga odobrenja nadležnih organa u zavisnosti od perioda važenja.</w:t>
      </w:r>
    </w:p>
    <w:p w14:paraId="320FE4F7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VII Sprovođenje postupka:</w:t>
      </w:r>
    </w:p>
    <w:p w14:paraId="26CFA9E4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7.1.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sačinjava i podnosi prijavu  u skladu sa Javnim pozivom. </w:t>
      </w:r>
    </w:p>
    <w:p w14:paraId="07B55C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Rok važenja prijava je 90 dana od dana </w:t>
      </w:r>
      <w:r w:rsidRPr="00C25D34">
        <w:rPr>
          <w:rFonts w:ascii="Times New Roman" w:eastAsia="Calibri" w:hAnsi="Times New Roman" w:cs="Times New Roman"/>
          <w:sz w:val="24"/>
          <w:szCs w:val="24"/>
          <w:lang w:val="pl-PL"/>
        </w:rPr>
        <w:t>sprovođenja aukcije ( licitacije)</w:t>
      </w:r>
      <w:r w:rsidRPr="00C25D34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53BC5CB6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7.2.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Ponuđač može u roku za dostavljanje prijava, da istu mijenja i dopunjava ili da u pisanoj formi odustane od prijave.</w:t>
      </w:r>
    </w:p>
    <w:p w14:paraId="7C3DA6AA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Promjena i dopuna prijave  ili odustajanje od prijave ponuđač dostavlja na isti način kao i prijavu. </w:t>
      </w:r>
    </w:p>
    <w:p w14:paraId="642FC98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Ponuđač može odustati od prijave, bez aktiviranja priložene garancije ponude, najkasnije do roka (dan, vrijeme, sat)  određenog javnim pozivom za predaju prijave na arhivi Javnog preduzeća. </w:t>
      </w:r>
    </w:p>
    <w:p w14:paraId="5049DABA" w14:textId="1F2840A3" w:rsidR="008E2F3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U slučaju odustanka od prijave prije isteka roka određenog za dostavljanje prijave/odnosno otvaranja prijave  ista se vraća ponuđaču neotvorena.</w:t>
      </w:r>
    </w:p>
    <w:p w14:paraId="4D56C782" w14:textId="77777777" w:rsidR="00E07610" w:rsidRDefault="00E07610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58E7AA" w14:textId="77777777" w:rsidR="00446F5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7.3. Prijava se dostavlja u roku određenom Javnim pozivom u zatvorenim kovertama 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postom ili neposrednom preda</w:t>
      </w:r>
      <w:r w:rsid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jom na arhivi Javnog  preduzeća.</w:t>
      </w:r>
    </w:p>
    <w:p w14:paraId="39BC334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 koje su primljene nakon isteka Javnim pozivom određenog roka odbijaju se kao neblagovremene i vraćaju se neotvorene ponuđaču, konačnom odlukom.</w:t>
      </w:r>
    </w:p>
    <w:p w14:paraId="040838C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Prijave  fizičkih ili pravnih lica (ranijih korisnika) se odbijaju kao neprihvatljive i neće biti predmet vrednovanja, ukoliko je:</w:t>
      </w:r>
    </w:p>
    <w:p w14:paraId="4A77328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-protiv ponuđača (ranijeg korisnika)  Javno preduzeće pokrenulo sudski postupak zbog neispunjavanja ugovorenih obaveza,</w:t>
      </w:r>
    </w:p>
    <w:p w14:paraId="59D9ADF8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-sa ponuđačem (ranijim korisnikom) Javno preduzeće raskinulo  ugovor zbog teže povrede ugovorne obaveze </w:t>
      </w:r>
    </w:p>
    <w:p w14:paraId="15309727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EF3EFE5" w14:textId="28F0A54F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7.4.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Postupak davanja u zakup sprovode </w:t>
      </w:r>
      <w:r w:rsidR="00761A3D">
        <w:rPr>
          <w:rFonts w:ascii="Times New Roman" w:eastAsia="Calibri" w:hAnsi="Times New Roman" w:cs="Times New Roman"/>
          <w:sz w:val="24"/>
          <w:szCs w:val="24"/>
        </w:rPr>
        <w:t>komisije za aukciju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koje imenuje Direktor Javnog preduzeća.</w:t>
      </w:r>
    </w:p>
    <w:p w14:paraId="3F46CDC7" w14:textId="2BA2A37E" w:rsidR="00F64626" w:rsidRDefault="00761A3D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r-Latn-RS"/>
        </w:rPr>
      </w:pPr>
      <w:r>
        <w:rPr>
          <w:rFonts w:ascii="Times New Roman" w:eastAsia="Calibri" w:hAnsi="Times New Roman" w:cs="Times New Roman"/>
          <w:sz w:val="24"/>
          <w:szCs w:val="24"/>
        </w:rPr>
        <w:t>Komisija za aukciju</w:t>
      </w:r>
      <w:r w:rsidR="00F64626" w:rsidRPr="00C25D34">
        <w:rPr>
          <w:rFonts w:ascii="Times New Roman" w:eastAsia="Calibri" w:hAnsi="Times New Roman" w:cs="Times New Roman"/>
          <w:sz w:val="24"/>
          <w:szCs w:val="24"/>
        </w:rPr>
        <w:t xml:space="preserve"> u postupku javnog nadmetanja</w:t>
      </w:r>
      <w:r w:rsidR="00F64626" w:rsidRPr="00C25D34">
        <w:rPr>
          <w:rFonts w:ascii="Times New Roman" w:eastAsia="Calibri" w:hAnsi="Times New Roman" w:cs="Times New Roman"/>
          <w:sz w:val="24"/>
          <w:szCs w:val="24"/>
          <w:lang w:val="sr-Latn-RS"/>
        </w:rPr>
        <w:t>, preuzima prijave sa arhive Javnog preduzeća, vrši pregled i ocjenu formalne ispravnosti prijava, vrši registraciju ponuđača i u skladu sa Pozivima sprovodi aukciju i sačinjava Zapisnik o aukciji.</w:t>
      </w:r>
    </w:p>
    <w:p w14:paraId="04236D3E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A511D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>7.5.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 Nezatvorene (neuredne) prijave  odbijaju se kao nevažeće i u stanju u kojem su uručene biće vraćene ponuđaču, nakon okončanja postupka .</w:t>
      </w:r>
    </w:p>
    <w:p w14:paraId="285D48C9" w14:textId="77777777" w:rsidR="00761A3D" w:rsidRPr="00E07610" w:rsidRDefault="00F64626" w:rsidP="00761A3D">
      <w:pPr>
        <w:spacing w:after="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E07610">
        <w:rPr>
          <w:rFonts w:ascii="Times New Roman" w:eastAsia="Calibri" w:hAnsi="Times New Roman" w:cs="Times New Roman"/>
          <w:b/>
          <w:sz w:val="24"/>
          <w:szCs w:val="24"/>
        </w:rPr>
        <w:t xml:space="preserve">Neispravna je ponuda koja nije sačinjena u skladu sa uslovima Javnog poziva. </w:t>
      </w:r>
    </w:p>
    <w:p w14:paraId="1FFA00E0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2E37E3" w14:textId="77777777" w:rsid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Podnesci i obaviještenja Komisije za aukciju dostavljaju se  na adresu koju je ponuđač označio u prijavi ili neposrednim uručenjem na Arhivi Javnog preduzeća.</w:t>
      </w:r>
    </w:p>
    <w:p w14:paraId="7F62928E" w14:textId="7D817B2C" w:rsidR="00761A3D" w:rsidRPr="00761A3D" w:rsidRDefault="00761A3D" w:rsidP="00761A3D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U slučaju da podnesci ne budu uručeni na adresu označenu u prijavi, isto će biti postavljeno na oglasnoj tabli i internet stranici Javnog preduzeća www.morskodobro.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>me</w:t>
      </w:r>
      <w:r w:rsidRPr="00761A3D">
        <w:rPr>
          <w:rFonts w:ascii="Times New Roman" w:eastAsia="Times New Roman" w:hAnsi="Times New Roman" w:cs="Times New Roman"/>
          <w:sz w:val="24"/>
          <w:szCs w:val="24"/>
          <w:lang w:eastAsia="en-GB"/>
        </w:rPr>
        <w:t>. Istekom roka od 5 (pet) dana od dana oglašavanja smatrat će se da je lice uredno obavješteno, nakon čega će teći rokovi za sprovođenje radnji u postupku.</w:t>
      </w:r>
    </w:p>
    <w:p w14:paraId="1F4F3184" w14:textId="77777777" w:rsidR="00761A3D" w:rsidRPr="00C25D34" w:rsidRDefault="00761A3D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E228E3B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31E12199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lastRenderedPageBreak/>
        <w:t xml:space="preserve">VIII Način, vrijeme i mjesto podnošenja prijava </w:t>
      </w:r>
    </w:p>
    <w:p w14:paraId="24D2B2B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Ponuđač je dužan da prijavu pripremi kao jedinstvenu cjelinu i da svaku prvu stranicu svakog lista i ukupni broj listova prijave označi rednim brojem (1/40, 2/40..) osim bankarske garancije koja ne mora biti uvezana i numerisana.</w:t>
      </w:r>
    </w:p>
    <w:p w14:paraId="421FD36D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mora biti povezana jednim jemstvenikom tako da se ne mogu naknadno ubacivati, odstranjivati ili zamjenjivati pojedinačni listovi, a da se pri tome ne ošteti list prijave.</w:t>
      </w:r>
    </w:p>
    <w:p w14:paraId="59FEE379" w14:textId="77777777" w:rsidR="00F64626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Prijava zahtijevana Javnim pozivom dostavlja se u odgovarajućem zatvorenom omotu (koverat) na način da se prilikom otvaranja prijave može sa sigurnošću utvrditi da se prvi put otvara.</w:t>
      </w:r>
    </w:p>
    <w:p w14:paraId="226981DC" w14:textId="77777777" w:rsidR="00D62EF3" w:rsidRPr="00C25D34" w:rsidRDefault="00D62EF3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</w:p>
    <w:p w14:paraId="44A793C9" w14:textId="77777777" w:rsidR="00F64626" w:rsidRPr="00C25D34" w:rsidRDefault="00F64626" w:rsidP="00F64626">
      <w:pPr>
        <w:autoSpaceDE w:val="0"/>
        <w:autoSpaceDN w:val="0"/>
        <w:spacing w:after="120" w:line="240" w:lineRule="auto"/>
        <w:ind w:right="-284"/>
        <w:jc w:val="both"/>
        <w:rPr>
          <w:rFonts w:ascii="Times New Roman" w:eastAsia="Calibri" w:hAnsi="Times New Roman" w:cs="Times New Roman"/>
          <w:sz w:val="24"/>
          <w:szCs w:val="24"/>
          <w:lang w:eastAsia="sr-Latn-ME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eastAsia="sr-Latn-ME"/>
        </w:rPr>
        <w:t>Na omotu prijave navodi se: naziv/ime i prezime ponuđača, broj javnog poziva, broj lokacije iz javnog poziva za koju se dostavlja i na koju se odnosi prijava.</w:t>
      </w:r>
    </w:p>
    <w:p w14:paraId="6BDD6F11" w14:textId="53D2D981" w:rsidR="004B444F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pl-PL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Prijave za javno nadmeta</w:t>
      </w:r>
      <w:r w:rsidR="004B444F"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>nje (aukciju) dostavljaju se poš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tom ili neposrednom predajom na arhivi Javnog  preduzeća svakog radnog dana 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od 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8E2F36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9</w:t>
      </w:r>
      <w:r w:rsidR="00446F54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</w:t>
      </w:r>
      <w:r w:rsidR="00D80DA5"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do 1</w:t>
      </w:r>
      <w:r w:rsidR="00545D00">
        <w:rPr>
          <w:rFonts w:ascii="Times New Roman" w:eastAsia="Calibri" w:hAnsi="Times New Roman" w:cs="Times New Roman"/>
          <w:b/>
          <w:sz w:val="24"/>
          <w:szCs w:val="24"/>
          <w:lang w:val="sl-SI"/>
        </w:rPr>
        <w:t>4</w:t>
      </w:r>
      <w:r w:rsidRPr="008E2F36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.00 casova</w:t>
      </w:r>
      <w:r w:rsidRPr="00C25D34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od dana objavljivanja ovog poziva,  (izuzev od 11.30 do 12.00h) u zapečaćenim kovertama sa naznakom „PRIJAVA ZA JAVNO NADMETANJE PO POZIVU BROJ ____, RED.BR.____ U OPŠTINI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______“, najkasnije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do </w:t>
      </w:r>
      <w:r w:rsidR="00B04493">
        <w:rPr>
          <w:rFonts w:ascii="Times New Roman" w:eastAsia="Calibri" w:hAnsi="Times New Roman" w:cs="Times New Roman"/>
          <w:b/>
          <w:sz w:val="24"/>
          <w:szCs w:val="24"/>
        </w:rPr>
        <w:t>2</w:t>
      </w:r>
      <w:r w:rsidR="0088534C">
        <w:rPr>
          <w:rFonts w:ascii="Times New Roman" w:eastAsia="Calibri" w:hAnsi="Times New Roman" w:cs="Times New Roman"/>
          <w:b/>
          <w:sz w:val="24"/>
          <w:szCs w:val="24"/>
        </w:rPr>
        <w:t>4</w:t>
      </w:r>
      <w:bookmarkStart w:id="1" w:name="_GoBack"/>
      <w:bookmarkEnd w:id="1"/>
      <w:r w:rsidR="00B04493">
        <w:rPr>
          <w:rFonts w:ascii="Times New Roman" w:eastAsia="Calibri" w:hAnsi="Times New Roman" w:cs="Times New Roman"/>
          <w:b/>
          <w:sz w:val="24"/>
          <w:szCs w:val="24"/>
        </w:rPr>
        <w:t>.05.2022.godine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do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4493">
        <w:rPr>
          <w:rFonts w:ascii="Times New Roman" w:eastAsia="Calibri" w:hAnsi="Times New Roman" w:cs="Times New Roman"/>
          <w:b/>
          <w:sz w:val="24"/>
          <w:szCs w:val="24"/>
        </w:rPr>
        <w:t>14: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>00 č</w:t>
      </w:r>
      <w:r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 xml:space="preserve">asova, do kada moraju biti dostavljene </w:t>
      </w:r>
      <w:r w:rsidR="004B444F" w:rsidRPr="00C039DF">
        <w:rPr>
          <w:rFonts w:ascii="Times New Roman" w:eastAsia="Calibri" w:hAnsi="Times New Roman" w:cs="Times New Roman"/>
          <w:b/>
          <w:sz w:val="24"/>
          <w:szCs w:val="24"/>
          <w:lang w:val="pl-PL"/>
        </w:rPr>
        <w:t>i ponude koje su upućene poštom.</w:t>
      </w:r>
    </w:p>
    <w:p w14:paraId="28FAD258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Prijave dostavljene nakon navedenog roka (n</w:t>
      </w:r>
      <w:r w:rsidRPr="00C039DF">
        <w:rPr>
          <w:rFonts w:ascii="Times New Roman" w:eastAsia="Calibri" w:hAnsi="Times New Roman" w:cs="Times New Roman"/>
          <w:sz w:val="24"/>
          <w:szCs w:val="24"/>
        </w:rPr>
        <w:t>eblagovremene prijave), nezatvorene prijave,  prijave uz koje nijesu priloženi traženi dokazi (neuredne prijave), kao i prijave fizičkih i pravnih lica (ranijih korisnika) protiv kojih je pokrenut sudski postupak zbog neispunjavanja ugovorenih obaveza prema Javnom preduzeću, ne mogu učestvovati u javnom nadmetanju</w:t>
      </w:r>
      <w:r w:rsidRPr="00C039DF">
        <w:rPr>
          <w:rFonts w:ascii="Times New Roman" w:eastAsia="Calibri" w:hAnsi="Times New Roman" w:cs="Times New Roman"/>
          <w:sz w:val="24"/>
          <w:szCs w:val="24"/>
          <w:lang w:val="sl-SI"/>
        </w:rPr>
        <w:t>.</w:t>
      </w:r>
    </w:p>
    <w:p w14:paraId="3964347D" w14:textId="20967112" w:rsidR="00E957CE" w:rsidRPr="00C039DF" w:rsidRDefault="00F64626" w:rsidP="00343465">
      <w:pPr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  <w:lang w:val="nb-NO"/>
        </w:rPr>
      </w:pPr>
      <w:r w:rsidRPr="00C039DF">
        <w:rPr>
          <w:rFonts w:ascii="Times New Roman" w:eastAsia="Calibri" w:hAnsi="Times New Roman" w:cs="Times New Roman"/>
          <w:b/>
          <w:sz w:val="24"/>
          <w:szCs w:val="24"/>
          <w:lang w:val="nb-NO"/>
        </w:rPr>
        <w:t xml:space="preserve">Zainteresovanim ponuđačima ili njihovim ovlašćenim predstavnicima, Obrazac A se dostavlja e-mailom, na e-mail adresu  koju je naznačio zainteresovani ponuđač,  sa obavezom zainteresovanog ponuđača da potvrdi  prijem e-maila sa Obrascem A. Takodje, sve potrebne informacije, uvid u skice i uslove tendera mogu se ostvariti putem email adrese jpmdcg@t-com.me ili telefonskim putem  </w:t>
      </w:r>
      <w:r w:rsidRPr="00C039DF">
        <w:rPr>
          <w:rFonts w:ascii="Times New Roman" w:eastAsia="Calibri" w:hAnsi="Times New Roman" w:cs="Times New Roman"/>
          <w:b/>
          <w:sz w:val="24"/>
          <w:szCs w:val="24"/>
        </w:rPr>
        <w:t xml:space="preserve">na br.tel. 033/452-709 </w:t>
      </w:r>
      <w:r w:rsidRPr="00783031">
        <w:rPr>
          <w:rFonts w:ascii="Times New Roman" w:eastAsia="Calibri" w:hAnsi="Times New Roman" w:cs="Times New Roman"/>
          <w:b/>
          <w:sz w:val="24"/>
          <w:szCs w:val="24"/>
        </w:rPr>
        <w:t xml:space="preserve">Služba za </w:t>
      </w:r>
      <w:r w:rsidR="00783031" w:rsidRPr="00783031">
        <w:rPr>
          <w:rFonts w:ascii="Times New Roman" w:eastAsia="Calibri" w:hAnsi="Times New Roman" w:cs="Times New Roman"/>
          <w:b/>
          <w:sz w:val="24"/>
          <w:szCs w:val="24"/>
        </w:rPr>
        <w:t>ustupanje na korišćenje morskog dobra i upravljanje lukama</w:t>
      </w:r>
      <w:r w:rsidRPr="0078303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zaključno sa</w:t>
      </w:r>
      <w:r w:rsidR="004B444F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</w:t>
      </w:r>
      <w:r w:rsidR="00B04493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2</w:t>
      </w:r>
      <w:r w:rsidR="00232183">
        <w:rPr>
          <w:rFonts w:ascii="Times New Roman" w:eastAsia="Calibri" w:hAnsi="Times New Roman" w:cs="Times New Roman"/>
          <w:b/>
          <w:sz w:val="24"/>
          <w:szCs w:val="24"/>
          <w:lang w:val="sl-SI"/>
        </w:rPr>
        <w:t>0</w:t>
      </w:r>
      <w:r w:rsidR="00B04493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.05</w:t>
      </w:r>
      <w:r w:rsidR="00256AC0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.</w:t>
      </w:r>
      <w:r w:rsidR="004B444F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202</w:t>
      </w:r>
      <w:r w:rsidR="00B04493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2</w:t>
      </w:r>
      <w:r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.godine </w:t>
      </w:r>
      <w:r w:rsidR="00D80DA5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do </w:t>
      </w:r>
      <w:r w:rsidR="00B04493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14</w:t>
      </w:r>
      <w:r w:rsidR="00D62EF3"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 xml:space="preserve"> </w:t>
      </w:r>
      <w:r w:rsidRPr="00B04493">
        <w:rPr>
          <w:rFonts w:ascii="Times New Roman" w:eastAsia="Calibri" w:hAnsi="Times New Roman" w:cs="Times New Roman"/>
          <w:b/>
          <w:sz w:val="24"/>
          <w:szCs w:val="24"/>
          <w:lang w:val="sl-SI"/>
        </w:rPr>
        <w:t>h.</w:t>
      </w:r>
    </w:p>
    <w:p w14:paraId="6EB75BCD" w14:textId="77777777" w:rsidR="00E07610" w:rsidRDefault="00E07610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43E73EE" w14:textId="77777777" w:rsidR="00F64626" w:rsidRPr="00C039DF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039DF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IX Vrijeme i mjesto javnog nadmetanja</w:t>
      </w:r>
    </w:p>
    <w:p w14:paraId="7AF2471A" w14:textId="6E7EC9B8" w:rsidR="00C25D34" w:rsidRPr="00C25D34" w:rsidRDefault="00C25D34" w:rsidP="00C039DF">
      <w:pPr>
        <w:spacing w:before="240"/>
        <w:ind w:right="-426"/>
        <w:jc w:val="both"/>
        <w:rPr>
          <w:rFonts w:ascii="Times New Roman" w:hAnsi="Times New Roman" w:cs="Times New Roman"/>
          <w:sz w:val="24"/>
          <w:szCs w:val="24"/>
        </w:rPr>
      </w:pP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Javno nadmetanje </w:t>
      </w:r>
      <w:r w:rsidRPr="00C039DF">
        <w:rPr>
          <w:rFonts w:ascii="Times New Roman" w:hAnsi="Times New Roman" w:cs="Times New Roman"/>
          <w:b/>
          <w:sz w:val="24"/>
          <w:szCs w:val="24"/>
          <w:lang w:val="pl-PL"/>
        </w:rPr>
        <w:t>pod uslovima koji će obezbijediti poštovanje Preporuka i mjera tijela za   zarazne bolesti</w:t>
      </w:r>
      <w:r w:rsidRPr="00C039DF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će se obaviti dana  </w:t>
      </w:r>
      <w:r w:rsidR="00B04493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26</w:t>
      </w:r>
      <w:r w:rsidR="00761A3D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</w:t>
      </w:r>
      <w:r w:rsidR="00B04493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05</w:t>
      </w:r>
      <w:r w:rsidR="00761A3D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.2022</w:t>
      </w:r>
      <w:r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.</w:t>
      </w:r>
      <w:r w:rsidR="00B04493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godine</w:t>
      </w:r>
      <w:r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 xml:space="preserve"> u 1</w:t>
      </w:r>
      <w:r w:rsidR="00B04493"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4:</w:t>
      </w:r>
      <w:r w:rsidRPr="00B04493">
        <w:rPr>
          <w:rFonts w:ascii="Times New Roman" w:eastAsia="Times New Roman" w:hAnsi="Times New Roman" w:cs="Times New Roman"/>
          <w:b/>
          <w:sz w:val="24"/>
          <w:szCs w:val="24"/>
          <w:lang w:val="sl-SI" w:eastAsia="sr-Latn-CS"/>
        </w:rPr>
        <w:t>00 časova</w:t>
      </w:r>
      <w:r w:rsidRPr="00C039DF">
        <w:rPr>
          <w:rFonts w:ascii="Times New Roman" w:eastAsia="Times New Roman" w:hAnsi="Times New Roman" w:cs="Times New Roman"/>
          <w:sz w:val="24"/>
          <w:szCs w:val="24"/>
          <w:lang w:val="sl-SI" w:eastAsia="sr-Latn-CS"/>
        </w:rPr>
        <w:t xml:space="preserve"> </w:t>
      </w:r>
      <w:r w:rsidRPr="00C039DF">
        <w:rPr>
          <w:rFonts w:ascii="Times New Roman" w:hAnsi="Times New Roman" w:cs="Times New Roman"/>
          <w:b/>
          <w:sz w:val="24"/>
          <w:szCs w:val="24"/>
          <w:lang w:val="sl-SI"/>
        </w:rPr>
        <w:t xml:space="preserve">u Sali na prvom spratu poslovne zgrade Javnog </w:t>
      </w:r>
      <w:r w:rsidR="00E61F59" w:rsidRPr="00C039DF">
        <w:rPr>
          <w:rFonts w:ascii="Times New Roman" w:hAnsi="Times New Roman" w:cs="Times New Roman"/>
          <w:sz w:val="24"/>
          <w:szCs w:val="24"/>
          <w:lang w:val="sl-SI"/>
        </w:rPr>
        <w:t>preduzeća, uz poštovanje epidemioloških mjera.</w:t>
      </w:r>
    </w:p>
    <w:p w14:paraId="3B9EA1E3" w14:textId="77777777" w:rsidR="00F64626" w:rsidRPr="00C25D34" w:rsidRDefault="00F64626" w:rsidP="00C039DF">
      <w:pPr>
        <w:spacing w:after="0" w:line="240" w:lineRule="auto"/>
        <w:ind w:right="-284"/>
        <w:jc w:val="both"/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</w:pPr>
      <w:r w:rsidRPr="00C25D34">
        <w:rPr>
          <w:rFonts w:ascii="Times New Roman" w:eastAsia="Calibri" w:hAnsi="Times New Roman" w:cs="Times New Roman"/>
          <w:bCs/>
          <w:sz w:val="24"/>
          <w:szCs w:val="24"/>
          <w:lang w:val="sl-SI"/>
        </w:rPr>
        <w:t>Pravo učešća na nadmetanju imaju sva pravna i fizička lica koja blagovremeno dostave pisanu prijavu sa potrebnom dokumentacijom i uredno se registruju.</w:t>
      </w:r>
      <w:r w:rsidRPr="00C25D34">
        <w:rPr>
          <w:rFonts w:ascii="Times New Roman" w:eastAsia="Calibri" w:hAnsi="Times New Roman" w:cs="Times New Roman"/>
          <w:bCs/>
          <w:sz w:val="24"/>
          <w:szCs w:val="24"/>
          <w:lang w:val="sr-Latn-RS" w:eastAsia="sr-Latn-CS"/>
        </w:rPr>
        <w:t xml:space="preserve"> </w:t>
      </w:r>
    </w:p>
    <w:p w14:paraId="4FB55B9A" w14:textId="77777777" w:rsidR="00E61F59" w:rsidRPr="00C25D34" w:rsidRDefault="00E61F59" w:rsidP="00C25D34">
      <w:pPr>
        <w:tabs>
          <w:tab w:val="left" w:pos="567"/>
          <w:tab w:val="left" w:pos="5387"/>
          <w:tab w:val="left" w:pos="9498"/>
        </w:tabs>
        <w:spacing w:after="0" w:line="240" w:lineRule="auto"/>
        <w:ind w:left="-284"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</w:p>
    <w:p w14:paraId="7B88107D" w14:textId="77777777" w:rsidR="00C25D34" w:rsidRPr="00C25D34" w:rsidRDefault="00C25D34" w:rsidP="00C039DF">
      <w:pPr>
        <w:tabs>
          <w:tab w:val="left" w:pos="567"/>
          <w:tab w:val="left" w:pos="5387"/>
          <w:tab w:val="left" w:pos="9498"/>
        </w:tabs>
        <w:spacing w:after="0" w:line="240" w:lineRule="auto"/>
        <w:ind w:right="-426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</w:pPr>
      <w:r w:rsidRPr="00C25D34">
        <w:rPr>
          <w:rFonts w:ascii="Times New Roman" w:eastAsia="Times New Roman" w:hAnsi="Times New Roman" w:cs="Times New Roman"/>
          <w:b/>
          <w:sz w:val="24"/>
          <w:szCs w:val="24"/>
          <w:lang w:val="sr-Latn-CS" w:eastAsia="sr-Latn-CS"/>
        </w:rPr>
        <w:t>Podnosioci prijava za javno nadmetanje – aukciju su dužni da se 1 sat prije početka licitacije registruju kod Komisije. Ukoliko se ne registruju gube pravo na povraćaj bankarske garancije.</w:t>
      </w:r>
    </w:p>
    <w:p w14:paraId="2DED7AAE" w14:textId="77777777" w:rsidR="00E957CE" w:rsidRPr="00C25D34" w:rsidRDefault="00E957CE" w:rsidP="00F64626">
      <w:pPr>
        <w:spacing w:after="120" w:line="240" w:lineRule="auto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u w:val="single"/>
          <w:lang w:val="sr-Latn-RS" w:eastAsia="sr-Latn-CS"/>
        </w:rPr>
      </w:pPr>
    </w:p>
    <w:p w14:paraId="0A88350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>X Licitacioni korak</w:t>
      </w:r>
    </w:p>
    <w:p w14:paraId="266678BA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  <w:t xml:space="preserve">Licitacioni korak u postupku javnog nadmetanja – aukcije utvrđuje se u  iznosu od 100,00 eura na početnu cijenu. </w:t>
      </w:r>
    </w:p>
    <w:p w14:paraId="443239BB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sl-SI"/>
        </w:rPr>
      </w:pPr>
    </w:p>
    <w:p w14:paraId="55DDA3AF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lastRenderedPageBreak/>
        <w:t>XI Izbor najpovoljnijeg ponuđača</w:t>
      </w:r>
    </w:p>
    <w:p w14:paraId="32DD47DE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Učesnik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naknade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proglašava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najpovoljnijeg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smatra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prihvaćenom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predmetne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najveći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zakupnine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potpisuje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Izjavu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kojom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prihvata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izlicitirani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gdje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ujedno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taksativno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navodi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redoslijed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iznos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su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odustali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</w:p>
    <w:p w14:paraId="6E1ADA93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Po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završenom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ponuđači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imaju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pravo da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ulože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na sami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tok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postupka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/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licitacije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odlaže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aukciju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, a o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osnovanosti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odlučuje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neposredno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njegovom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iznošenju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.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Odluka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po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prigovoru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konačna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7402BD2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</w:pP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Najpovoljniji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je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dužan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da u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10 (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deset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) 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od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dana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zaključi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o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zakupu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privremene</w:t>
      </w:r>
      <w:proofErr w:type="spellEnd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s-ES"/>
        </w:rPr>
        <w:t>lokacije</w:t>
      </w:r>
      <w:proofErr w:type="spellEnd"/>
      <w:r w:rsidRPr="00C25D34">
        <w:rPr>
          <w:rFonts w:ascii="Times New Roman" w:eastAsia="Calibri" w:hAnsi="Times New Roman" w:cs="Times New Roman"/>
          <w:color w:val="000000"/>
          <w:sz w:val="24"/>
          <w:szCs w:val="24"/>
          <w:lang w:val="es-ES"/>
        </w:rPr>
        <w:t>.</w:t>
      </w:r>
    </w:p>
    <w:p w14:paraId="13DDD8DB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prvorangirani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povuče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iz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odnosno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ukoliko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predviđenom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roku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aktiviraće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se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njegova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garancija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, 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preduzeće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pozvati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na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zaključenje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sledećeg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rangiranog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skladu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redosledom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plasmana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ponuda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0D4FA90" w14:textId="77777777" w:rsidR="00F64626" w:rsidRPr="00C25D34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  <w:lang w:val="es-ES"/>
        </w:rPr>
      </w:pPr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U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slučaju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odustanka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ili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odbijanja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svih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rangiranih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ponuđača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da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potpišu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ugovor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Tenderska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komisija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će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javno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nadmetanje-aukciju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proglasiti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 xml:space="preserve"> </w:t>
      </w:r>
      <w:proofErr w:type="spellStart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neuspjelom</w:t>
      </w:r>
      <w:proofErr w:type="spellEnd"/>
      <w:r w:rsidRPr="00C25D34">
        <w:rPr>
          <w:rFonts w:ascii="Times New Roman" w:eastAsia="Calibri" w:hAnsi="Times New Roman" w:cs="Times New Roman"/>
          <w:sz w:val="24"/>
          <w:szCs w:val="24"/>
          <w:lang w:val="es-ES"/>
        </w:rPr>
        <w:t>.</w:t>
      </w:r>
    </w:p>
    <w:p w14:paraId="459D3836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>Ponuđači koji nijesu izabrani mogu da preuzmu bankarske garancije ponude u roku od 8 (osam) dana od dana zaključenja ugovora sa najpovoljnijim ponuđačem.</w:t>
      </w:r>
    </w:p>
    <w:p w14:paraId="3B82378D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D99DE17" w14:textId="77777777" w:rsidR="00F64626" w:rsidRPr="00C25D34" w:rsidRDefault="00F64626" w:rsidP="00F64626">
      <w:pPr>
        <w:spacing w:after="120"/>
        <w:ind w:right="-284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sz w:val="24"/>
          <w:szCs w:val="24"/>
        </w:rPr>
        <w:t xml:space="preserve">XII Činidbena garancija </w:t>
      </w:r>
    </w:p>
    <w:p w14:paraId="62E9BEDE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Izabrani ponuđač je dužan da do dana određenog za zaključenje ugovora dostavi godišnju činidbenu garanciju, odnosno originalnu bankarsku garanciju kojom će se garantovati dobro izvršenje ugovorom preuzetih obaveza u visini od 20% od ukupno ugovorene zakupnine uvećane za PDV, sa obavezom njenog godišnjeg obnavljanja tokom trajanja ugovora. </w:t>
      </w:r>
    </w:p>
    <w:p w14:paraId="3C4C326D" w14:textId="77777777" w:rsidR="00F12431" w:rsidRDefault="00F12431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DF96BAF" w14:textId="77777777" w:rsidR="00F64626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54A4DFC1" w14:textId="5CCB5648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>XIII</w:t>
      </w:r>
      <w:r w:rsidRPr="00C25D34">
        <w:rPr>
          <w:rFonts w:ascii="Times New Roman" w:eastAsia="Calibri" w:hAnsi="Times New Roman" w:cs="Times New Roman"/>
          <w:sz w:val="24"/>
          <w:szCs w:val="24"/>
        </w:rPr>
        <w:t>  Javni poziv objavljuje se u dnevnom listu „</w:t>
      </w:r>
      <w:r w:rsidR="00387506">
        <w:rPr>
          <w:rFonts w:ascii="Times New Roman" w:eastAsia="Calibri" w:hAnsi="Times New Roman" w:cs="Times New Roman"/>
          <w:sz w:val="24"/>
          <w:szCs w:val="24"/>
        </w:rPr>
        <w:t>Vijesti</w:t>
      </w:r>
      <w:r w:rsidRPr="00C25D34">
        <w:rPr>
          <w:rFonts w:ascii="Times New Roman" w:eastAsia="Calibri" w:hAnsi="Times New Roman" w:cs="Times New Roman"/>
          <w:sz w:val="24"/>
          <w:szCs w:val="24"/>
        </w:rPr>
        <w:t xml:space="preserve">“ i na internet stranici Javnog preduzeća 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>www. morskodobro.</w:t>
      </w:r>
      <w:r w:rsidR="00761A3D">
        <w:rPr>
          <w:rFonts w:ascii="Times New Roman" w:eastAsia="Calibri" w:hAnsi="Times New Roman" w:cs="Times New Roman"/>
          <w:sz w:val="24"/>
          <w:szCs w:val="24"/>
          <w:u w:val="single"/>
        </w:rPr>
        <w:t>me</w:t>
      </w:r>
      <w:r w:rsidRPr="00C25D34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</w:t>
      </w:r>
    </w:p>
    <w:p w14:paraId="5428DE62" w14:textId="77777777" w:rsidR="00F64626" w:rsidRPr="00C25D34" w:rsidRDefault="00F64626" w:rsidP="00F64626">
      <w:pPr>
        <w:spacing w:after="0"/>
        <w:ind w:right="-284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</w:p>
    <w:p w14:paraId="3EE82553" w14:textId="77777777" w:rsidR="00F64626" w:rsidRDefault="00F64626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25D3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XIV  </w:t>
      </w:r>
      <w:r w:rsidRPr="00C25D34">
        <w:rPr>
          <w:rFonts w:ascii="Times New Roman" w:eastAsia="Calibri" w:hAnsi="Times New Roman" w:cs="Times New Roman"/>
          <w:sz w:val="24"/>
          <w:szCs w:val="24"/>
        </w:rPr>
        <w:t>Sve potrebne informacije mogu se dobiti na br.tel. 033/452-709 Služba za upravljanje lukama i pomorstvo</w:t>
      </w:r>
      <w:r w:rsidR="00CE266A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6AECC52E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855625C" w14:textId="77777777" w:rsidR="00D62EF3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EAB2596" w14:textId="77777777" w:rsidR="00D62EF3" w:rsidRPr="00C25D34" w:rsidRDefault="00D62EF3" w:rsidP="00F64626">
      <w:pPr>
        <w:ind w:right="-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6CDADE1" w14:textId="77777777" w:rsidR="00F64626" w:rsidRPr="00C25D34" w:rsidRDefault="00F64626" w:rsidP="00F64626">
      <w:pPr>
        <w:widowControl w:val="0"/>
        <w:tabs>
          <w:tab w:val="left" w:pos="3969"/>
        </w:tabs>
        <w:autoSpaceDE w:val="0"/>
        <w:autoSpaceDN w:val="0"/>
        <w:spacing w:after="0" w:line="240" w:lineRule="auto"/>
        <w:ind w:right="-284"/>
        <w:jc w:val="both"/>
        <w:rPr>
          <w:rFonts w:ascii="Times New Roman" w:eastAsia="Georgia" w:hAnsi="Times New Roman" w:cs="Times New Roman"/>
          <w:sz w:val="24"/>
          <w:szCs w:val="24"/>
          <w:lang w:val="en-US"/>
        </w:rPr>
      </w:pPr>
    </w:p>
    <w:p w14:paraId="3B946808" w14:textId="77777777" w:rsidR="00F64626" w:rsidRPr="00C25D34" w:rsidRDefault="00F64626" w:rsidP="00F64626">
      <w:pPr>
        <w:ind w:right="-284"/>
        <w:rPr>
          <w:rFonts w:ascii="Times New Roman" w:eastAsia="Calibri" w:hAnsi="Times New Roman" w:cs="Times New Roman"/>
          <w:sz w:val="24"/>
          <w:szCs w:val="24"/>
        </w:rPr>
      </w:pPr>
    </w:p>
    <w:sectPr w:rsidR="00F64626" w:rsidRPr="00C25D34" w:rsidSect="00783031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-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FB1963"/>
    <w:multiLevelType w:val="hybridMultilevel"/>
    <w:tmpl w:val="7834CD5A"/>
    <w:lvl w:ilvl="0" w:tplc="7D8E5252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522F91"/>
    <w:multiLevelType w:val="hybridMultilevel"/>
    <w:tmpl w:val="84680840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711F9"/>
    <w:multiLevelType w:val="hybridMultilevel"/>
    <w:tmpl w:val="C79892B6"/>
    <w:lvl w:ilvl="0" w:tplc="B3207610">
      <w:start w:val="1"/>
      <w:numFmt w:val="decimal"/>
      <w:lvlText w:val="%1)"/>
      <w:lvlJc w:val="left"/>
      <w:pPr>
        <w:ind w:left="502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" w15:restartNumberingAfterBreak="0">
    <w:nsid w:val="16903A4C"/>
    <w:multiLevelType w:val="hybridMultilevel"/>
    <w:tmpl w:val="2FB0E526"/>
    <w:lvl w:ilvl="0" w:tplc="38EE7CB2">
      <w:start w:val="1"/>
      <w:numFmt w:val="decimal"/>
      <w:lvlText w:val="%1)"/>
      <w:lvlJc w:val="left"/>
      <w:pPr>
        <w:ind w:left="76" w:hanging="360"/>
      </w:pPr>
    </w:lvl>
    <w:lvl w:ilvl="1" w:tplc="2C1A0019">
      <w:start w:val="1"/>
      <w:numFmt w:val="lowerLetter"/>
      <w:lvlText w:val="%2."/>
      <w:lvlJc w:val="left"/>
      <w:pPr>
        <w:ind w:left="796" w:hanging="360"/>
      </w:pPr>
    </w:lvl>
    <w:lvl w:ilvl="2" w:tplc="2C1A001B">
      <w:start w:val="1"/>
      <w:numFmt w:val="lowerRoman"/>
      <w:lvlText w:val="%3."/>
      <w:lvlJc w:val="right"/>
      <w:pPr>
        <w:ind w:left="1516" w:hanging="180"/>
      </w:pPr>
    </w:lvl>
    <w:lvl w:ilvl="3" w:tplc="2C1A000F">
      <w:start w:val="1"/>
      <w:numFmt w:val="decimal"/>
      <w:lvlText w:val="%4."/>
      <w:lvlJc w:val="left"/>
      <w:pPr>
        <w:ind w:left="2236" w:hanging="360"/>
      </w:pPr>
    </w:lvl>
    <w:lvl w:ilvl="4" w:tplc="2C1A0019">
      <w:start w:val="1"/>
      <w:numFmt w:val="lowerLetter"/>
      <w:lvlText w:val="%5."/>
      <w:lvlJc w:val="left"/>
      <w:pPr>
        <w:ind w:left="2956" w:hanging="360"/>
      </w:pPr>
    </w:lvl>
    <w:lvl w:ilvl="5" w:tplc="2C1A001B">
      <w:start w:val="1"/>
      <w:numFmt w:val="lowerRoman"/>
      <w:lvlText w:val="%6."/>
      <w:lvlJc w:val="right"/>
      <w:pPr>
        <w:ind w:left="3676" w:hanging="180"/>
      </w:pPr>
    </w:lvl>
    <w:lvl w:ilvl="6" w:tplc="2C1A000F">
      <w:start w:val="1"/>
      <w:numFmt w:val="decimal"/>
      <w:lvlText w:val="%7."/>
      <w:lvlJc w:val="left"/>
      <w:pPr>
        <w:ind w:left="4396" w:hanging="360"/>
      </w:pPr>
    </w:lvl>
    <w:lvl w:ilvl="7" w:tplc="2C1A0019">
      <w:start w:val="1"/>
      <w:numFmt w:val="lowerLetter"/>
      <w:lvlText w:val="%8."/>
      <w:lvlJc w:val="left"/>
      <w:pPr>
        <w:ind w:left="5116" w:hanging="360"/>
      </w:pPr>
    </w:lvl>
    <w:lvl w:ilvl="8" w:tplc="2C1A001B">
      <w:start w:val="1"/>
      <w:numFmt w:val="lowerRoman"/>
      <w:lvlText w:val="%9."/>
      <w:lvlJc w:val="right"/>
      <w:pPr>
        <w:ind w:left="5836" w:hanging="180"/>
      </w:pPr>
    </w:lvl>
  </w:abstractNum>
  <w:abstractNum w:abstractNumId="4" w15:restartNumberingAfterBreak="0">
    <w:nsid w:val="171E160F"/>
    <w:multiLevelType w:val="hybridMultilevel"/>
    <w:tmpl w:val="791A7E1E"/>
    <w:lvl w:ilvl="0" w:tplc="8A04314C">
      <w:start w:val="1"/>
      <w:numFmt w:val="decimal"/>
      <w:lvlText w:val="%1."/>
      <w:lvlJc w:val="left"/>
      <w:pPr>
        <w:ind w:left="218" w:hanging="360"/>
      </w:pPr>
    </w:lvl>
    <w:lvl w:ilvl="1" w:tplc="2C1A0019">
      <w:start w:val="1"/>
      <w:numFmt w:val="lowerLetter"/>
      <w:lvlText w:val="%2."/>
      <w:lvlJc w:val="left"/>
      <w:pPr>
        <w:ind w:left="938" w:hanging="360"/>
      </w:pPr>
    </w:lvl>
    <w:lvl w:ilvl="2" w:tplc="2C1A001B">
      <w:start w:val="1"/>
      <w:numFmt w:val="lowerRoman"/>
      <w:lvlText w:val="%3."/>
      <w:lvlJc w:val="right"/>
      <w:pPr>
        <w:ind w:left="1658" w:hanging="180"/>
      </w:pPr>
    </w:lvl>
    <w:lvl w:ilvl="3" w:tplc="2C1A000F">
      <w:start w:val="1"/>
      <w:numFmt w:val="decimal"/>
      <w:lvlText w:val="%4."/>
      <w:lvlJc w:val="left"/>
      <w:pPr>
        <w:ind w:left="2378" w:hanging="360"/>
      </w:pPr>
    </w:lvl>
    <w:lvl w:ilvl="4" w:tplc="2C1A0019">
      <w:start w:val="1"/>
      <w:numFmt w:val="lowerLetter"/>
      <w:lvlText w:val="%5."/>
      <w:lvlJc w:val="left"/>
      <w:pPr>
        <w:ind w:left="3098" w:hanging="360"/>
      </w:pPr>
    </w:lvl>
    <w:lvl w:ilvl="5" w:tplc="2C1A001B">
      <w:start w:val="1"/>
      <w:numFmt w:val="lowerRoman"/>
      <w:lvlText w:val="%6."/>
      <w:lvlJc w:val="right"/>
      <w:pPr>
        <w:ind w:left="3818" w:hanging="180"/>
      </w:pPr>
    </w:lvl>
    <w:lvl w:ilvl="6" w:tplc="2C1A000F">
      <w:start w:val="1"/>
      <w:numFmt w:val="decimal"/>
      <w:lvlText w:val="%7."/>
      <w:lvlJc w:val="left"/>
      <w:pPr>
        <w:ind w:left="4538" w:hanging="360"/>
      </w:pPr>
    </w:lvl>
    <w:lvl w:ilvl="7" w:tplc="2C1A0019">
      <w:start w:val="1"/>
      <w:numFmt w:val="lowerLetter"/>
      <w:lvlText w:val="%8."/>
      <w:lvlJc w:val="left"/>
      <w:pPr>
        <w:ind w:left="5258" w:hanging="360"/>
      </w:pPr>
    </w:lvl>
    <w:lvl w:ilvl="8" w:tplc="2C1A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19C13F07"/>
    <w:multiLevelType w:val="multilevel"/>
    <w:tmpl w:val="A3E62A56"/>
    <w:lvl w:ilvl="0">
      <w:start w:val="1"/>
      <w:numFmt w:val="decimal"/>
      <w:lvlText w:val="%1)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7A465DD"/>
    <w:multiLevelType w:val="hybridMultilevel"/>
    <w:tmpl w:val="D36203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F4EF5"/>
    <w:multiLevelType w:val="hybridMultilevel"/>
    <w:tmpl w:val="F800C77A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327C9C"/>
    <w:multiLevelType w:val="hybridMultilevel"/>
    <w:tmpl w:val="10D4F558"/>
    <w:lvl w:ilvl="0" w:tplc="C0FE8994">
      <w:start w:val="1"/>
      <w:numFmt w:val="decimal"/>
      <w:lvlText w:val="%1)"/>
      <w:lvlJc w:val="left"/>
      <w:pPr>
        <w:ind w:left="720" w:hanging="360"/>
      </w:pPr>
      <w:rPr>
        <w:rFonts w:cs="Times New Roman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8872332"/>
    <w:multiLevelType w:val="hybridMultilevel"/>
    <w:tmpl w:val="EDC64DAA"/>
    <w:lvl w:ilvl="0" w:tplc="D53E4274">
      <w:start w:val="1"/>
      <w:numFmt w:val="decimal"/>
      <w:lvlText w:val="%1)"/>
      <w:lvlJc w:val="left"/>
      <w:pPr>
        <w:ind w:left="720" w:hanging="360"/>
      </w:pPr>
      <w:rPr>
        <w:rFonts w:cs="Times New Roman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9B72DA1"/>
    <w:multiLevelType w:val="hybridMultilevel"/>
    <w:tmpl w:val="4C84EB74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1" w15:restartNumberingAfterBreak="0">
    <w:nsid w:val="54DE09E3"/>
    <w:multiLevelType w:val="hybridMultilevel"/>
    <w:tmpl w:val="EB76B7A8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4D12FC"/>
    <w:multiLevelType w:val="hybridMultilevel"/>
    <w:tmpl w:val="374A723A"/>
    <w:lvl w:ilvl="0" w:tplc="9C54DCD6">
      <w:start w:val="1"/>
      <w:numFmt w:val="decimal"/>
      <w:lvlText w:val="%1."/>
      <w:lvlJc w:val="left"/>
      <w:pPr>
        <w:ind w:left="1042" w:hanging="360"/>
      </w:pPr>
    </w:lvl>
    <w:lvl w:ilvl="1" w:tplc="2C1A0019">
      <w:start w:val="1"/>
      <w:numFmt w:val="lowerLetter"/>
      <w:lvlText w:val="%2."/>
      <w:lvlJc w:val="left"/>
      <w:pPr>
        <w:ind w:left="1762" w:hanging="360"/>
      </w:pPr>
    </w:lvl>
    <w:lvl w:ilvl="2" w:tplc="2C1A001B">
      <w:start w:val="1"/>
      <w:numFmt w:val="lowerRoman"/>
      <w:lvlText w:val="%3."/>
      <w:lvlJc w:val="right"/>
      <w:pPr>
        <w:ind w:left="2482" w:hanging="180"/>
      </w:pPr>
    </w:lvl>
    <w:lvl w:ilvl="3" w:tplc="2C1A000F">
      <w:start w:val="1"/>
      <w:numFmt w:val="decimal"/>
      <w:lvlText w:val="%4."/>
      <w:lvlJc w:val="left"/>
      <w:pPr>
        <w:ind w:left="3202" w:hanging="360"/>
      </w:pPr>
    </w:lvl>
    <w:lvl w:ilvl="4" w:tplc="2C1A0019">
      <w:start w:val="1"/>
      <w:numFmt w:val="lowerLetter"/>
      <w:lvlText w:val="%5."/>
      <w:lvlJc w:val="left"/>
      <w:pPr>
        <w:ind w:left="3922" w:hanging="360"/>
      </w:pPr>
    </w:lvl>
    <w:lvl w:ilvl="5" w:tplc="2C1A001B">
      <w:start w:val="1"/>
      <w:numFmt w:val="lowerRoman"/>
      <w:lvlText w:val="%6."/>
      <w:lvlJc w:val="right"/>
      <w:pPr>
        <w:ind w:left="4642" w:hanging="180"/>
      </w:pPr>
    </w:lvl>
    <w:lvl w:ilvl="6" w:tplc="2C1A000F">
      <w:start w:val="1"/>
      <w:numFmt w:val="decimal"/>
      <w:lvlText w:val="%7."/>
      <w:lvlJc w:val="left"/>
      <w:pPr>
        <w:ind w:left="5362" w:hanging="360"/>
      </w:pPr>
    </w:lvl>
    <w:lvl w:ilvl="7" w:tplc="2C1A0019">
      <w:start w:val="1"/>
      <w:numFmt w:val="lowerLetter"/>
      <w:lvlText w:val="%8."/>
      <w:lvlJc w:val="left"/>
      <w:pPr>
        <w:ind w:left="6082" w:hanging="360"/>
      </w:pPr>
    </w:lvl>
    <w:lvl w:ilvl="8" w:tplc="2C1A001B">
      <w:start w:val="1"/>
      <w:numFmt w:val="lowerRoman"/>
      <w:lvlText w:val="%9."/>
      <w:lvlJc w:val="right"/>
      <w:pPr>
        <w:ind w:left="6802" w:hanging="180"/>
      </w:pPr>
    </w:lvl>
  </w:abstractNum>
  <w:abstractNum w:abstractNumId="13" w15:restartNumberingAfterBreak="0">
    <w:nsid w:val="694671E2"/>
    <w:multiLevelType w:val="hybridMultilevel"/>
    <w:tmpl w:val="5E265790"/>
    <w:lvl w:ilvl="0" w:tplc="8CCE674C">
      <w:start w:val="1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</w:num>
  <w:num w:numId="13">
    <w:abstractNumId w:val="10"/>
  </w:num>
  <w:num w:numId="14">
    <w:abstractNumId w:val="0"/>
  </w:num>
  <w:num w:numId="15">
    <w:abstractNumId w:val="7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626"/>
    <w:rsid w:val="00014E99"/>
    <w:rsid w:val="00037505"/>
    <w:rsid w:val="00043032"/>
    <w:rsid w:val="000C688D"/>
    <w:rsid w:val="000D114C"/>
    <w:rsid w:val="000F6C34"/>
    <w:rsid w:val="001656E7"/>
    <w:rsid w:val="00180562"/>
    <w:rsid w:val="00232183"/>
    <w:rsid w:val="00243399"/>
    <w:rsid w:val="00256AC0"/>
    <w:rsid w:val="00273A51"/>
    <w:rsid w:val="00343465"/>
    <w:rsid w:val="003643B0"/>
    <w:rsid w:val="00387506"/>
    <w:rsid w:val="00396B84"/>
    <w:rsid w:val="004255F8"/>
    <w:rsid w:val="00446F54"/>
    <w:rsid w:val="0045453A"/>
    <w:rsid w:val="00480263"/>
    <w:rsid w:val="004B444F"/>
    <w:rsid w:val="00545D00"/>
    <w:rsid w:val="0056022A"/>
    <w:rsid w:val="005F238D"/>
    <w:rsid w:val="005F447E"/>
    <w:rsid w:val="00617321"/>
    <w:rsid w:val="00646A2D"/>
    <w:rsid w:val="00683B3E"/>
    <w:rsid w:val="006913D3"/>
    <w:rsid w:val="00761A3D"/>
    <w:rsid w:val="00783031"/>
    <w:rsid w:val="0088534C"/>
    <w:rsid w:val="008871DD"/>
    <w:rsid w:val="00887DB3"/>
    <w:rsid w:val="008D0F08"/>
    <w:rsid w:val="008E2F36"/>
    <w:rsid w:val="0091378E"/>
    <w:rsid w:val="00962B01"/>
    <w:rsid w:val="009D5E7F"/>
    <w:rsid w:val="009E1C43"/>
    <w:rsid w:val="009E2854"/>
    <w:rsid w:val="00A103DB"/>
    <w:rsid w:val="00A42740"/>
    <w:rsid w:val="00AB0CB6"/>
    <w:rsid w:val="00AB6DF3"/>
    <w:rsid w:val="00AC7491"/>
    <w:rsid w:val="00B04493"/>
    <w:rsid w:val="00B334AB"/>
    <w:rsid w:val="00B649B8"/>
    <w:rsid w:val="00B92147"/>
    <w:rsid w:val="00BC04EE"/>
    <w:rsid w:val="00BD633E"/>
    <w:rsid w:val="00BE706C"/>
    <w:rsid w:val="00C039DF"/>
    <w:rsid w:val="00C25D34"/>
    <w:rsid w:val="00C35B15"/>
    <w:rsid w:val="00C72A09"/>
    <w:rsid w:val="00CE266A"/>
    <w:rsid w:val="00CE7C48"/>
    <w:rsid w:val="00D22795"/>
    <w:rsid w:val="00D62EF3"/>
    <w:rsid w:val="00D71A3D"/>
    <w:rsid w:val="00D80DA5"/>
    <w:rsid w:val="00E07610"/>
    <w:rsid w:val="00E13F8B"/>
    <w:rsid w:val="00E30FCE"/>
    <w:rsid w:val="00E61F59"/>
    <w:rsid w:val="00E957CE"/>
    <w:rsid w:val="00EB30CA"/>
    <w:rsid w:val="00F12431"/>
    <w:rsid w:val="00F64626"/>
    <w:rsid w:val="00F85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04999"/>
  <w15:chartTrackingRefBased/>
  <w15:docId w15:val="{7B7B0324-FF4B-41B2-83D4-E7A8EAF0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4626"/>
    <w:pPr>
      <w:spacing w:line="256" w:lineRule="auto"/>
    </w:pPr>
    <w:rPr>
      <w:lang w:val="sr-Latn-M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6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4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493"/>
    <w:rPr>
      <w:rFonts w:ascii="Segoe UI" w:hAnsi="Segoe UI" w:cs="Segoe UI"/>
      <w:sz w:val="18"/>
      <w:szCs w:val="18"/>
      <w:lang w:val="sr-Latn-M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0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3548</Words>
  <Characters>20226</Characters>
  <Application>Microsoft Office Word</Application>
  <DocSecurity>0</DocSecurity>
  <Lines>168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pavicevic</dc:creator>
  <cp:keywords/>
  <dc:description/>
  <cp:lastModifiedBy>drasko cerovic</cp:lastModifiedBy>
  <cp:revision>11</cp:revision>
  <cp:lastPrinted>2022-05-13T07:44:00Z</cp:lastPrinted>
  <dcterms:created xsi:type="dcterms:W3CDTF">2022-05-11T13:24:00Z</dcterms:created>
  <dcterms:modified xsi:type="dcterms:W3CDTF">2022-05-13T07:45:00Z</dcterms:modified>
</cp:coreProperties>
</file>