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13FFF" w14:textId="25A91C22" w:rsidR="00E75AAC" w:rsidRDefault="00E75AAC" w:rsidP="00F8178E">
      <w:pPr>
        <w:jc w:val="center"/>
        <w:rPr>
          <w:b/>
          <w:sz w:val="28"/>
          <w:szCs w:val="28"/>
        </w:rPr>
      </w:pPr>
      <w:bookmarkStart w:id="0" w:name="_Ref500218714"/>
      <w:r w:rsidRPr="00F8178E">
        <w:rPr>
          <w:b/>
          <w:sz w:val="28"/>
          <w:szCs w:val="28"/>
        </w:rPr>
        <w:t>SPECIAL CONDITIONS</w:t>
      </w:r>
      <w:r w:rsidR="00347E82">
        <w:rPr>
          <w:b/>
          <w:sz w:val="28"/>
          <w:szCs w:val="28"/>
        </w:rPr>
        <w:t xml:space="preserve"> FOR EUROPEAN UNION EXTERNAL ACTIONS</w:t>
      </w:r>
    </w:p>
    <w:p w14:paraId="1020BE61" w14:textId="253FE371" w:rsidR="003478ED" w:rsidRPr="00656498" w:rsidRDefault="003478ED" w:rsidP="003478ED">
      <w:pPr>
        <w:spacing w:after="0"/>
        <w:jc w:val="center"/>
        <w:rPr>
          <w:b/>
          <w:sz w:val="28"/>
          <w:szCs w:val="28"/>
        </w:rPr>
      </w:pPr>
      <w:r w:rsidRPr="00656498">
        <w:rPr>
          <w:b/>
          <w:sz w:val="28"/>
          <w:szCs w:val="28"/>
        </w:rPr>
        <w:t xml:space="preserve">Ref: </w:t>
      </w:r>
      <w:r w:rsidR="006A5848" w:rsidRPr="006A5848">
        <w:rPr>
          <w:b/>
          <w:sz w:val="28"/>
          <w:szCs w:val="28"/>
        </w:rPr>
        <w:t>CLIMBEACH T06</w:t>
      </w:r>
    </w:p>
    <w:p w14:paraId="553FEAD5" w14:textId="489E8168" w:rsidR="003478ED" w:rsidRPr="00F8178E" w:rsidRDefault="006A5848" w:rsidP="003478ED">
      <w:pPr>
        <w:jc w:val="center"/>
        <w:rPr>
          <w:b/>
          <w:sz w:val="28"/>
          <w:szCs w:val="28"/>
        </w:rPr>
      </w:pPr>
      <w:r w:rsidRPr="006A5848">
        <w:rPr>
          <w:b/>
          <w:sz w:val="28"/>
          <w:szCs w:val="28"/>
        </w:rPr>
        <w:t>Photogrammetric Survey and Volumetric Change Analysis of Pilot Beaches in Montenegro</w:t>
      </w:r>
    </w:p>
    <w:p w14:paraId="5080E4DD" w14:textId="6C90F72B" w:rsidR="00CB06F5" w:rsidRPr="003478ED" w:rsidRDefault="00EF3B57" w:rsidP="00215F58">
      <w:pPr>
        <w:spacing w:after="360"/>
        <w:rPr>
          <w:sz w:val="22"/>
          <w:szCs w:val="22"/>
        </w:rPr>
      </w:pPr>
      <w:r w:rsidRPr="003478ED">
        <w:rPr>
          <w:sz w:val="22"/>
          <w:szCs w:val="22"/>
        </w:rPr>
        <w:t xml:space="preserve">These conditions amplify and supplement the </w:t>
      </w:r>
      <w:r w:rsidR="004E2AD3" w:rsidRPr="003478ED">
        <w:rPr>
          <w:sz w:val="22"/>
          <w:szCs w:val="22"/>
        </w:rPr>
        <w:t>g</w:t>
      </w:r>
      <w:r w:rsidRPr="003478ED">
        <w:rPr>
          <w:sz w:val="22"/>
          <w:szCs w:val="22"/>
        </w:rPr>
        <w:t xml:space="preserve">eneral </w:t>
      </w:r>
      <w:r w:rsidR="004E2AD3" w:rsidRPr="003478ED">
        <w:rPr>
          <w:sz w:val="22"/>
          <w:szCs w:val="22"/>
        </w:rPr>
        <w:t>c</w:t>
      </w:r>
      <w:r w:rsidRPr="003478ED">
        <w:rPr>
          <w:sz w:val="22"/>
          <w:szCs w:val="22"/>
        </w:rPr>
        <w:t xml:space="preserve">onditions governing the </w:t>
      </w:r>
      <w:r w:rsidR="004E2AD3" w:rsidRPr="003478ED">
        <w:rPr>
          <w:sz w:val="22"/>
          <w:szCs w:val="22"/>
        </w:rPr>
        <w:t>c</w:t>
      </w:r>
      <w:r w:rsidRPr="003478ED">
        <w:rPr>
          <w:sz w:val="22"/>
          <w:szCs w:val="22"/>
        </w:rPr>
        <w:t xml:space="preserve">ontract. Unless the </w:t>
      </w:r>
      <w:r w:rsidR="004E2AD3" w:rsidRPr="003478ED">
        <w:rPr>
          <w:sz w:val="22"/>
          <w:szCs w:val="22"/>
        </w:rPr>
        <w:t>s</w:t>
      </w:r>
      <w:r w:rsidRPr="003478ED">
        <w:rPr>
          <w:sz w:val="22"/>
          <w:szCs w:val="22"/>
        </w:rPr>
        <w:t xml:space="preserve">pecial </w:t>
      </w:r>
      <w:r w:rsidR="004E2AD3" w:rsidRPr="003478ED">
        <w:rPr>
          <w:sz w:val="22"/>
          <w:szCs w:val="22"/>
        </w:rPr>
        <w:t>c</w:t>
      </w:r>
      <w:r w:rsidRPr="003478ED">
        <w:rPr>
          <w:sz w:val="22"/>
          <w:szCs w:val="22"/>
        </w:rPr>
        <w:t xml:space="preserve">onditions provide otherwise, the </w:t>
      </w:r>
      <w:r w:rsidR="004E2AD3" w:rsidRPr="003478ED">
        <w:rPr>
          <w:sz w:val="22"/>
          <w:szCs w:val="22"/>
        </w:rPr>
        <w:t>g</w:t>
      </w:r>
      <w:r w:rsidRPr="003478ED">
        <w:rPr>
          <w:sz w:val="22"/>
          <w:szCs w:val="22"/>
        </w:rPr>
        <w:t xml:space="preserve">eneral </w:t>
      </w:r>
      <w:r w:rsidR="004E2AD3" w:rsidRPr="003478ED">
        <w:rPr>
          <w:sz w:val="22"/>
          <w:szCs w:val="22"/>
        </w:rPr>
        <w:t>c</w:t>
      </w:r>
      <w:r w:rsidRPr="003478ED">
        <w:rPr>
          <w:sz w:val="22"/>
          <w:szCs w:val="22"/>
        </w:rPr>
        <w:t xml:space="preserve">onditions remain fully applicable. The numbering of the Articles of the </w:t>
      </w:r>
      <w:r w:rsidR="004E2AD3" w:rsidRPr="003478ED">
        <w:rPr>
          <w:sz w:val="22"/>
          <w:szCs w:val="22"/>
        </w:rPr>
        <w:t>s</w:t>
      </w:r>
      <w:r w:rsidRPr="003478ED">
        <w:rPr>
          <w:sz w:val="22"/>
          <w:szCs w:val="22"/>
        </w:rPr>
        <w:t xml:space="preserve">pecial </w:t>
      </w:r>
      <w:r w:rsidR="004E2AD3" w:rsidRPr="003478ED">
        <w:rPr>
          <w:sz w:val="22"/>
          <w:szCs w:val="22"/>
        </w:rPr>
        <w:t>c</w:t>
      </w:r>
      <w:r w:rsidRPr="003478ED">
        <w:rPr>
          <w:sz w:val="22"/>
          <w:szCs w:val="22"/>
        </w:rPr>
        <w:t xml:space="preserve">onditions is not consecutive but follows the numbering of the </w:t>
      </w:r>
      <w:r w:rsidR="004E2AD3" w:rsidRPr="003478ED">
        <w:rPr>
          <w:sz w:val="22"/>
          <w:szCs w:val="22"/>
        </w:rPr>
        <w:t>g</w:t>
      </w:r>
      <w:r w:rsidRPr="003478ED">
        <w:rPr>
          <w:sz w:val="22"/>
          <w:szCs w:val="22"/>
        </w:rPr>
        <w:t xml:space="preserve">eneral </w:t>
      </w:r>
      <w:r w:rsidR="004E2AD3" w:rsidRPr="003478ED">
        <w:rPr>
          <w:sz w:val="22"/>
          <w:szCs w:val="22"/>
        </w:rPr>
        <w:t>c</w:t>
      </w:r>
      <w:r w:rsidRPr="003478ED">
        <w:rPr>
          <w:sz w:val="22"/>
          <w:szCs w:val="22"/>
        </w:rPr>
        <w:t xml:space="preserve">onditions. </w:t>
      </w:r>
      <w:r w:rsidR="005E2075" w:rsidRPr="003478ED">
        <w:rPr>
          <w:sz w:val="22"/>
          <w:szCs w:val="22"/>
        </w:rPr>
        <w:t xml:space="preserve">Exceptionally, and with the approval of the </w:t>
      </w:r>
      <w:r w:rsidR="00DB4BD9" w:rsidRPr="003478ED">
        <w:rPr>
          <w:sz w:val="22"/>
          <w:szCs w:val="22"/>
        </w:rPr>
        <w:t>competent European Commission departments</w:t>
      </w:r>
      <w:r w:rsidR="005E2075" w:rsidRPr="003478ED">
        <w:rPr>
          <w:sz w:val="22"/>
          <w:szCs w:val="22"/>
        </w:rPr>
        <w:t>, o</w:t>
      </w:r>
      <w:r w:rsidRPr="003478ED">
        <w:rPr>
          <w:sz w:val="22"/>
          <w:szCs w:val="22"/>
        </w:rPr>
        <w:t xml:space="preserve">ther </w:t>
      </w:r>
      <w:r w:rsidR="00DB4BD9" w:rsidRPr="003478ED">
        <w:rPr>
          <w:sz w:val="22"/>
          <w:szCs w:val="22"/>
        </w:rPr>
        <w:t xml:space="preserve">clauses can </w:t>
      </w:r>
      <w:r w:rsidRPr="003478ED">
        <w:rPr>
          <w:sz w:val="22"/>
          <w:szCs w:val="22"/>
        </w:rPr>
        <w:t xml:space="preserve">be indicated </w:t>
      </w:r>
      <w:r w:rsidR="005E2075" w:rsidRPr="003478ED">
        <w:rPr>
          <w:sz w:val="22"/>
          <w:szCs w:val="22"/>
        </w:rPr>
        <w:t>to cover particular situations</w:t>
      </w:r>
      <w:r w:rsidRPr="003478ED">
        <w:rPr>
          <w:sz w:val="22"/>
          <w:szCs w:val="22"/>
        </w:rPr>
        <w:t xml:space="preserve">. </w:t>
      </w:r>
    </w:p>
    <w:p w14:paraId="4DA461F2" w14:textId="3BD0F952" w:rsidR="003B5424" w:rsidRPr="003478ED" w:rsidRDefault="00A35342" w:rsidP="002C7B24">
      <w:pPr>
        <w:spacing w:after="120"/>
        <w:rPr>
          <w:sz w:val="22"/>
          <w:szCs w:val="22"/>
        </w:rPr>
      </w:pPr>
      <w:r w:rsidRPr="003478ED">
        <w:rPr>
          <w:sz w:val="22"/>
          <w:szCs w:val="22"/>
        </w:rPr>
        <w:t xml:space="preserve">This contract is a global price contract. </w:t>
      </w:r>
    </w:p>
    <w:p w14:paraId="354FBF6D" w14:textId="77777777" w:rsidR="008B101A" w:rsidRPr="003478ED" w:rsidRDefault="008B101A" w:rsidP="008B101A">
      <w:pPr>
        <w:spacing w:after="0"/>
        <w:rPr>
          <w:sz w:val="22"/>
          <w:szCs w:val="22"/>
        </w:rPr>
      </w:pPr>
    </w:p>
    <w:p w14:paraId="3A09671B" w14:textId="77777777" w:rsidR="009506A0" w:rsidRPr="003478ED" w:rsidRDefault="009506A0" w:rsidP="003478ED">
      <w:pPr>
        <w:pStyle w:val="StyleListNumber11ptBold"/>
      </w:pPr>
      <w:r w:rsidRPr="003478ED">
        <w:t>Order of precedence of contract documents</w:t>
      </w:r>
    </w:p>
    <w:p w14:paraId="15C54018" w14:textId="77777777" w:rsidR="009506A0" w:rsidRPr="003478ED" w:rsidRDefault="009506A0" w:rsidP="00215F58">
      <w:pPr>
        <w:spacing w:after="120"/>
        <w:ind w:left="284"/>
        <w:rPr>
          <w:sz w:val="22"/>
          <w:szCs w:val="22"/>
        </w:rPr>
      </w:pPr>
      <w:r w:rsidRPr="003478ED">
        <w:rPr>
          <w:sz w:val="22"/>
          <w:szCs w:val="22"/>
        </w:rPr>
        <w:t>The following documents shall be deemed to form and be read and construed as part of this contract, in the following order of precedence:</w:t>
      </w:r>
    </w:p>
    <w:p w14:paraId="4B388C32" w14:textId="03E58BE5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the main conditions;</w:t>
      </w:r>
    </w:p>
    <w:p w14:paraId="53672BD6" w14:textId="1E2B012F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the special conditions</w:t>
      </w:r>
      <w:r w:rsidR="004115B2" w:rsidRPr="003478ED">
        <w:rPr>
          <w:sz w:val="22"/>
          <w:szCs w:val="22"/>
        </w:rPr>
        <w:t>;</w:t>
      </w:r>
    </w:p>
    <w:p w14:paraId="38098A22" w14:textId="77777777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the general conditions (Annex I);</w:t>
      </w:r>
    </w:p>
    <w:p w14:paraId="61050893" w14:textId="52D6E726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the terms of reference [</w:t>
      </w:r>
      <w:r w:rsidRPr="003478ED">
        <w:rPr>
          <w:sz w:val="22"/>
          <w:szCs w:val="22"/>
          <w:highlight w:val="yellow"/>
        </w:rPr>
        <w:t>including clarification before the deadline for submitting tenders and minutes of the information meeting/site visit</w:t>
      </w:r>
      <w:r w:rsidRPr="003478ED">
        <w:rPr>
          <w:sz w:val="22"/>
          <w:szCs w:val="22"/>
        </w:rPr>
        <w:t>] (Annex II)</w:t>
      </w:r>
      <w:r w:rsidR="004115B2" w:rsidRPr="003478ED">
        <w:rPr>
          <w:sz w:val="22"/>
          <w:szCs w:val="22"/>
        </w:rPr>
        <w:t>;</w:t>
      </w:r>
    </w:p>
    <w:p w14:paraId="1926E185" w14:textId="77777777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the organisation and methodology [</w:t>
      </w:r>
      <w:r w:rsidRPr="004F7E31">
        <w:rPr>
          <w:sz w:val="22"/>
          <w:szCs w:val="22"/>
          <w:highlight w:val="lightGray"/>
        </w:rPr>
        <w:t>including clarification from the tenderer provided during tender evaluation</w:t>
      </w:r>
      <w:r w:rsidRPr="003478ED">
        <w:rPr>
          <w:sz w:val="22"/>
          <w:szCs w:val="22"/>
        </w:rPr>
        <w:t>] (Annex III);</w:t>
      </w:r>
    </w:p>
    <w:p w14:paraId="243B5921" w14:textId="1B35049A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Budget (Annex V);</w:t>
      </w:r>
    </w:p>
    <w:p w14:paraId="13D71B83" w14:textId="77777777" w:rsidR="009506A0" w:rsidRPr="003478ED" w:rsidRDefault="009506A0" w:rsidP="00215F58">
      <w:pPr>
        <w:numPr>
          <w:ilvl w:val="0"/>
          <w:numId w:val="4"/>
        </w:numPr>
        <w:spacing w:after="60"/>
        <w:ind w:left="709" w:hanging="284"/>
        <w:rPr>
          <w:sz w:val="22"/>
          <w:szCs w:val="22"/>
        </w:rPr>
      </w:pPr>
      <w:r w:rsidRPr="003478ED">
        <w:rPr>
          <w:sz w:val="22"/>
          <w:szCs w:val="22"/>
        </w:rPr>
        <w:t>specified forms and other relevant documents (Annex VI));</w:t>
      </w:r>
    </w:p>
    <w:p w14:paraId="5F984158" w14:textId="77777777" w:rsidR="009506A0" w:rsidRPr="003478ED" w:rsidRDefault="009506A0" w:rsidP="009506A0">
      <w:pPr>
        <w:spacing w:after="120"/>
        <w:ind w:left="567"/>
        <w:rPr>
          <w:b/>
          <w:sz w:val="22"/>
          <w:szCs w:val="22"/>
        </w:rPr>
      </w:pPr>
      <w:r w:rsidRPr="003478ED">
        <w:rPr>
          <w:b/>
          <w:sz w:val="22"/>
          <w:szCs w:val="22"/>
        </w:rPr>
        <w:t>The various documents making up the contract shall be deemed to be mutually explanatory; in cases of ambiguity or divergence, they shall prevail in the order in which they appear above. Addenda shall have the order of precedence of the document they are amending.</w:t>
      </w:r>
      <w:r w:rsidRPr="003478ED" w:rsidDel="00A73B34">
        <w:rPr>
          <w:b/>
          <w:sz w:val="22"/>
          <w:szCs w:val="22"/>
        </w:rPr>
        <w:t xml:space="preserve"> </w:t>
      </w:r>
    </w:p>
    <w:p w14:paraId="451ED1FA" w14:textId="77777777" w:rsidR="00CB06F5" w:rsidRPr="00B8227D" w:rsidRDefault="00CB06F5" w:rsidP="00B8227D">
      <w:pPr>
        <w:spacing w:before="240" w:after="120"/>
        <w:ind w:left="1134" w:hanging="1134"/>
        <w:rPr>
          <w:b/>
        </w:rPr>
      </w:pPr>
      <w:r w:rsidRPr="00B8227D">
        <w:rPr>
          <w:b/>
        </w:rPr>
        <w:t>Article 2</w:t>
      </w:r>
      <w:r w:rsidRPr="00B8227D">
        <w:rPr>
          <w:b/>
        </w:rPr>
        <w:tab/>
        <w:t>Communications</w:t>
      </w:r>
    </w:p>
    <w:p w14:paraId="12226C09" w14:textId="53DA62FB" w:rsidR="00636C8E" w:rsidRDefault="00EF3B57" w:rsidP="00B8227D">
      <w:pPr>
        <w:keepNext/>
        <w:keepLines/>
        <w:spacing w:after="120"/>
        <w:ind w:left="567" w:hanging="567"/>
        <w:rPr>
          <w:sz w:val="22"/>
          <w:szCs w:val="22"/>
        </w:rPr>
      </w:pPr>
      <w:r w:rsidRPr="0036136C">
        <w:rPr>
          <w:sz w:val="22"/>
          <w:szCs w:val="22"/>
        </w:rPr>
        <w:t>2.1</w:t>
      </w:r>
      <w:r w:rsidR="00B8227D">
        <w:rPr>
          <w:sz w:val="22"/>
          <w:szCs w:val="22"/>
        </w:rPr>
        <w:tab/>
      </w:r>
      <w:r w:rsidR="00C60BA7" w:rsidRPr="00C60BA7">
        <w:rPr>
          <w:sz w:val="22"/>
          <w:szCs w:val="22"/>
        </w:rPr>
        <w:t>The language of the contract and of all written communications between the contractor and the contracting authority and/or the project manager shall be English</w:t>
      </w:r>
      <w:r w:rsidR="008B101A">
        <w:rPr>
          <w:sz w:val="22"/>
          <w:szCs w:val="22"/>
        </w:rPr>
        <w:t xml:space="preserve"> </w:t>
      </w:r>
      <w:bookmarkStart w:id="1" w:name="_Hlk143599264"/>
      <w:r w:rsidR="008B101A" w:rsidRPr="008B101A">
        <w:rPr>
          <w:sz w:val="22"/>
          <w:szCs w:val="22"/>
        </w:rPr>
        <w:t>or in any of official languages of programme participating countries in Latin letter</w:t>
      </w:r>
      <w:bookmarkEnd w:id="1"/>
      <w:r w:rsidR="00C60BA7" w:rsidRPr="00C60BA7">
        <w:rPr>
          <w:sz w:val="22"/>
          <w:szCs w:val="22"/>
        </w:rPr>
        <w:t>.</w:t>
      </w:r>
      <w:r w:rsidR="00C60BA7">
        <w:rPr>
          <w:sz w:val="22"/>
          <w:szCs w:val="22"/>
        </w:rPr>
        <w:t xml:space="preserve"> </w:t>
      </w:r>
    </w:p>
    <w:p w14:paraId="4A064F63" w14:textId="42C6005E" w:rsidR="004F3059" w:rsidRPr="00215F58" w:rsidRDefault="004F3059" w:rsidP="00E80E8F">
      <w:pPr>
        <w:keepNext/>
        <w:keepLines/>
        <w:spacing w:after="120"/>
        <w:ind w:left="567" w:hanging="567"/>
        <w:rPr>
          <w:strike/>
          <w:sz w:val="22"/>
          <w:szCs w:val="22"/>
        </w:rPr>
      </w:pPr>
      <w:r>
        <w:rPr>
          <w:sz w:val="22"/>
          <w:szCs w:val="22"/>
        </w:rPr>
        <w:t>2.2</w:t>
      </w:r>
      <w:r>
        <w:rPr>
          <w:sz w:val="22"/>
          <w:szCs w:val="22"/>
        </w:rPr>
        <w:tab/>
      </w:r>
      <w:bookmarkStart w:id="2" w:name="_Hlk125129966"/>
      <w:r w:rsidR="00E80E8F">
        <w:rPr>
          <w:sz w:val="22"/>
          <w:szCs w:val="22"/>
        </w:rPr>
        <w:t>Communication details</w:t>
      </w:r>
      <w:r w:rsidR="00E80E8F" w:rsidRPr="00E80E8F" w:rsidDel="00E80E8F">
        <w:rPr>
          <w:strike/>
          <w:sz w:val="22"/>
          <w:szCs w:val="22"/>
        </w:rPr>
        <w:t xml:space="preserve"> </w:t>
      </w:r>
    </w:p>
    <w:bookmarkEnd w:id="2"/>
    <w:p w14:paraId="471E0760" w14:textId="22773F6C" w:rsidR="0095583E" w:rsidRDefault="0095583E" w:rsidP="0095583E">
      <w:pPr>
        <w:keepNext/>
        <w:keepLines/>
        <w:spacing w:after="120"/>
        <w:ind w:left="567" w:hanging="567"/>
        <w:rPr>
          <w:rStyle w:val="eop"/>
          <w:b/>
          <w:bCs/>
          <w:sz w:val="22"/>
          <w:szCs w:val="22"/>
        </w:rPr>
      </w:pPr>
      <w:r>
        <w:rPr>
          <w:sz w:val="22"/>
          <w:szCs w:val="22"/>
        </w:rPr>
        <w:t>2.</w:t>
      </w:r>
      <w:r w:rsidR="00E80E8F">
        <w:rPr>
          <w:sz w:val="22"/>
          <w:szCs w:val="22"/>
        </w:rPr>
        <w:t>4</w:t>
      </w:r>
      <w:r>
        <w:rPr>
          <w:sz w:val="22"/>
          <w:szCs w:val="22"/>
        </w:rPr>
        <w:tab/>
      </w:r>
      <w:r w:rsidR="008B101A">
        <w:rPr>
          <w:sz w:val="22"/>
          <w:szCs w:val="22"/>
        </w:rPr>
        <w:t>No c</w:t>
      </w:r>
      <w:r w:rsidRPr="00F35EA6">
        <w:rPr>
          <w:rStyle w:val="normaltextrun"/>
          <w:sz w:val="22"/>
          <w:szCs w:val="22"/>
        </w:rPr>
        <w:t>ommunication via electronic exchange system</w:t>
      </w:r>
      <w:r w:rsidR="00986D80" w:rsidRPr="00F35EA6">
        <w:rPr>
          <w:rStyle w:val="normaltextrun"/>
          <w:sz w:val="22"/>
          <w:szCs w:val="22"/>
        </w:rPr>
        <w:t xml:space="preserve"> (EES)</w:t>
      </w:r>
      <w:r>
        <w:rPr>
          <w:rStyle w:val="eop"/>
          <w:b/>
          <w:bCs/>
          <w:sz w:val="22"/>
          <w:szCs w:val="22"/>
        </w:rPr>
        <w:t> </w:t>
      </w:r>
    </w:p>
    <w:p w14:paraId="234823DA" w14:textId="5362A02C" w:rsidR="0095583E" w:rsidRPr="00215F58" w:rsidRDefault="00C40236" w:rsidP="00215F58">
      <w:pPr>
        <w:pStyle w:val="Heading3"/>
        <w:numPr>
          <w:ilvl w:val="0"/>
          <w:numId w:val="0"/>
        </w:numPr>
        <w:tabs>
          <w:tab w:val="left" w:pos="762"/>
        </w:tabs>
        <w:spacing w:before="100" w:beforeAutospacing="1" w:after="100" w:afterAutospacing="1"/>
        <w:jc w:val="left"/>
        <w:rPr>
          <w:i w:val="0"/>
          <w:iCs/>
          <w:sz w:val="22"/>
          <w:szCs w:val="22"/>
        </w:rPr>
      </w:pPr>
      <w:r>
        <w:rPr>
          <w:rStyle w:val="normaltextrun"/>
          <w:i w:val="0"/>
          <w:iCs/>
          <w:sz w:val="22"/>
          <w:szCs w:val="22"/>
        </w:rPr>
        <w:t>2.</w:t>
      </w:r>
      <w:r w:rsidR="00261C2A">
        <w:rPr>
          <w:rStyle w:val="normaltextrun"/>
          <w:i w:val="0"/>
          <w:iCs/>
          <w:sz w:val="22"/>
          <w:szCs w:val="22"/>
        </w:rPr>
        <w:t>5</w:t>
      </w:r>
      <w:r w:rsidR="00113F5C">
        <w:rPr>
          <w:rStyle w:val="normaltextrun"/>
          <w:i w:val="0"/>
          <w:iCs/>
          <w:sz w:val="22"/>
          <w:szCs w:val="22"/>
        </w:rPr>
        <w:t xml:space="preserve"> </w:t>
      </w:r>
      <w:r w:rsidR="00261C2A">
        <w:rPr>
          <w:rStyle w:val="normaltextrun"/>
          <w:i w:val="0"/>
          <w:iCs/>
          <w:sz w:val="22"/>
          <w:szCs w:val="22"/>
        </w:rPr>
        <w:t xml:space="preserve">&amp; 2.6 </w:t>
      </w:r>
      <w:r w:rsidR="0095583E" w:rsidRPr="00215F58">
        <w:rPr>
          <w:rStyle w:val="normaltextrun"/>
          <w:i w:val="0"/>
          <w:iCs/>
          <w:sz w:val="22"/>
          <w:szCs w:val="22"/>
        </w:rPr>
        <w:t>Mail or email communication</w:t>
      </w:r>
      <w:r w:rsidR="0095583E" w:rsidRPr="00215F58">
        <w:rPr>
          <w:rStyle w:val="eop"/>
          <w:i w:val="0"/>
          <w:iCs/>
          <w:sz w:val="22"/>
          <w:szCs w:val="22"/>
        </w:rPr>
        <w:t> </w:t>
      </w:r>
    </w:p>
    <w:p w14:paraId="615F3646" w14:textId="1AFFB227" w:rsidR="00424BB8" w:rsidRPr="00F35EA6" w:rsidRDefault="00424BB8" w:rsidP="0095583E">
      <w:pPr>
        <w:keepNext/>
        <w:keepLines/>
        <w:spacing w:after="120"/>
        <w:ind w:left="567"/>
        <w:rPr>
          <w:sz w:val="22"/>
          <w:szCs w:val="22"/>
        </w:rPr>
      </w:pPr>
      <w:r w:rsidRPr="00215F58">
        <w:rPr>
          <w:sz w:val="22"/>
          <w:szCs w:val="22"/>
        </w:rPr>
        <w:t>If communications through the Portal have not been activated or a certain type of communication is not yet supported by the Portal, communications will be sent via email, or, exceptionally, on paper, via mail services, to the following addresses</w:t>
      </w:r>
      <w:r w:rsidRPr="00F35EA6">
        <w:rPr>
          <w:sz w:val="22"/>
          <w:szCs w:val="22"/>
        </w:rPr>
        <w:t>.</w:t>
      </w:r>
    </w:p>
    <w:p w14:paraId="4E03E01F" w14:textId="77777777" w:rsidR="0095583E" w:rsidRPr="00F35EA6" w:rsidRDefault="0095583E" w:rsidP="00215F58">
      <w:pPr>
        <w:pStyle w:val="paragraph"/>
        <w:ind w:left="567"/>
        <w:textAlignment w:val="baseline"/>
        <w:rPr>
          <w:lang w:val="en-GB"/>
        </w:rPr>
      </w:pPr>
      <w:r w:rsidRPr="00F35EA6">
        <w:rPr>
          <w:rStyle w:val="normaltextrun"/>
          <w:sz w:val="22"/>
          <w:szCs w:val="22"/>
          <w:lang w:val="en-GB"/>
        </w:rPr>
        <w:t xml:space="preserve">For the purpose of this </w:t>
      </w:r>
      <w:r w:rsidRPr="00F35EA6">
        <w:rPr>
          <w:color w:val="000000"/>
          <w:sz w:val="22"/>
          <w:szCs w:val="22"/>
          <w:lang w:val="en-GB"/>
        </w:rPr>
        <w:t>contract</w:t>
      </w:r>
      <w:r w:rsidRPr="00F35EA6">
        <w:rPr>
          <w:rStyle w:val="normaltextrun"/>
          <w:sz w:val="22"/>
          <w:szCs w:val="22"/>
          <w:lang w:val="en-GB"/>
        </w:rPr>
        <w:t>, mail or email communications must be sent to the following addresses:</w:t>
      </w:r>
      <w:r w:rsidRPr="00F35EA6">
        <w:rPr>
          <w:rStyle w:val="eop"/>
          <w:sz w:val="22"/>
          <w:szCs w:val="22"/>
          <w:lang w:val="en-GB"/>
        </w:rPr>
        <w:t> </w:t>
      </w:r>
    </w:p>
    <w:p w14:paraId="05B9F6B5" w14:textId="77777777" w:rsidR="0095583E" w:rsidRPr="00113F5C" w:rsidRDefault="0095583E" w:rsidP="0095583E">
      <w:pPr>
        <w:pStyle w:val="paragraph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b/>
          <w:bCs/>
          <w:sz w:val="22"/>
          <w:szCs w:val="22"/>
          <w:lang w:val="en-GB"/>
        </w:rPr>
        <w:t>Contracting authority</w:t>
      </w:r>
      <w:r w:rsidRPr="00F35EA6">
        <w:rPr>
          <w:rStyle w:val="normaltextrun"/>
          <w:sz w:val="22"/>
          <w:szCs w:val="22"/>
          <w:lang w:val="en-GB"/>
        </w:rPr>
        <w:t>:</w:t>
      </w:r>
      <w:r w:rsidRPr="00113F5C">
        <w:rPr>
          <w:rStyle w:val="eop"/>
          <w:sz w:val="22"/>
          <w:szCs w:val="22"/>
          <w:lang w:val="en-GB"/>
        </w:rPr>
        <w:t> </w:t>
      </w:r>
    </w:p>
    <w:p w14:paraId="094EB80E" w14:textId="77777777" w:rsidR="00424BB8" w:rsidRPr="003478ED" w:rsidRDefault="00424BB8" w:rsidP="00215F58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IE"/>
        </w:rPr>
      </w:pPr>
      <w:r w:rsidRPr="003478ED">
        <w:rPr>
          <w:sz w:val="22"/>
          <w:szCs w:val="22"/>
          <w:lang w:val="en-IE"/>
        </w:rPr>
        <w:lastRenderedPageBreak/>
        <w:t>[</w:t>
      </w:r>
      <w:r w:rsidRPr="003478ED">
        <w:rPr>
          <w:sz w:val="22"/>
          <w:szCs w:val="22"/>
          <w:highlight w:val="yellow"/>
          <w:lang w:val="en-IE"/>
        </w:rPr>
        <w:t>Full name]</w:t>
      </w:r>
      <w:r w:rsidRPr="003478ED">
        <w:rPr>
          <w:sz w:val="22"/>
          <w:szCs w:val="22"/>
          <w:lang w:val="en-IE"/>
        </w:rPr>
        <w:t xml:space="preserve">  </w:t>
      </w:r>
    </w:p>
    <w:p w14:paraId="2BF7B652" w14:textId="77777777" w:rsidR="00424BB8" w:rsidRPr="003478ED" w:rsidRDefault="00424BB8" w:rsidP="00215F58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IE"/>
        </w:rPr>
      </w:pPr>
      <w:r w:rsidRPr="003478ED">
        <w:rPr>
          <w:sz w:val="22"/>
          <w:szCs w:val="22"/>
          <w:lang w:val="en-IE"/>
        </w:rPr>
        <w:t>[</w:t>
      </w:r>
      <w:r w:rsidRPr="003478ED">
        <w:rPr>
          <w:sz w:val="22"/>
          <w:szCs w:val="22"/>
          <w:highlight w:val="yellow"/>
          <w:lang w:val="en-IE"/>
        </w:rPr>
        <w:t>Full</w:t>
      </w:r>
      <w:r w:rsidRPr="003478ED">
        <w:rPr>
          <w:sz w:val="22"/>
          <w:szCs w:val="22"/>
          <w:lang w:val="en-IE"/>
        </w:rPr>
        <w:t xml:space="preserve"> </w:t>
      </w:r>
      <w:r w:rsidRPr="003478ED">
        <w:rPr>
          <w:sz w:val="22"/>
          <w:szCs w:val="22"/>
          <w:highlight w:val="yellow"/>
          <w:lang w:val="en-IE"/>
        </w:rPr>
        <w:t>official</w:t>
      </w:r>
      <w:r w:rsidRPr="003478ED">
        <w:rPr>
          <w:sz w:val="22"/>
          <w:szCs w:val="22"/>
          <w:lang w:val="en-IE"/>
        </w:rPr>
        <w:t xml:space="preserve"> </w:t>
      </w:r>
      <w:r w:rsidRPr="003478ED">
        <w:rPr>
          <w:sz w:val="22"/>
          <w:szCs w:val="22"/>
          <w:highlight w:val="yellow"/>
          <w:lang w:val="en-IE"/>
        </w:rPr>
        <w:t>address</w:t>
      </w:r>
      <w:r w:rsidRPr="003478ED">
        <w:rPr>
          <w:sz w:val="22"/>
          <w:szCs w:val="22"/>
          <w:lang w:val="en-IE"/>
        </w:rPr>
        <w:t xml:space="preserve">]  </w:t>
      </w:r>
    </w:p>
    <w:p w14:paraId="591A3B55" w14:textId="292094F6" w:rsidR="00424BB8" w:rsidRPr="003478ED" w:rsidRDefault="00424BB8" w:rsidP="00215F58">
      <w:pPr>
        <w:pStyle w:val="paragraph"/>
        <w:spacing w:before="0" w:beforeAutospacing="0" w:after="360" w:afterAutospacing="0"/>
        <w:ind w:left="1196"/>
        <w:textAlignment w:val="baseline"/>
        <w:rPr>
          <w:sz w:val="22"/>
          <w:szCs w:val="22"/>
          <w:lang w:val="en-IE"/>
        </w:rPr>
      </w:pPr>
      <w:r w:rsidRPr="003478ED">
        <w:rPr>
          <w:sz w:val="22"/>
          <w:szCs w:val="22"/>
          <w:lang w:val="en-IE"/>
        </w:rPr>
        <w:t>Email: [</w:t>
      </w:r>
      <w:r w:rsidRPr="003478ED">
        <w:rPr>
          <w:sz w:val="22"/>
          <w:szCs w:val="22"/>
          <w:highlight w:val="yellow"/>
          <w:lang w:val="en-IE"/>
        </w:rPr>
        <w:t>complete</w:t>
      </w:r>
      <w:r w:rsidRPr="003478ED">
        <w:rPr>
          <w:sz w:val="22"/>
          <w:szCs w:val="22"/>
          <w:lang w:val="en-IE"/>
        </w:rPr>
        <w:t>]</w:t>
      </w:r>
    </w:p>
    <w:p w14:paraId="41524751" w14:textId="77777777" w:rsidR="0095583E" w:rsidRPr="003478ED" w:rsidRDefault="0095583E" w:rsidP="00215F58">
      <w:pPr>
        <w:pStyle w:val="paragraph"/>
        <w:spacing w:after="0" w:afterAutospacing="0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b/>
          <w:bCs/>
          <w:sz w:val="22"/>
          <w:szCs w:val="22"/>
          <w:lang w:val="en-GB"/>
        </w:rPr>
        <w:t>Contractor </w:t>
      </w:r>
      <w:r w:rsidRPr="003478ED">
        <w:rPr>
          <w:rStyle w:val="normaltextrun"/>
          <w:sz w:val="22"/>
          <w:szCs w:val="22"/>
          <w:lang w:val="en-GB"/>
        </w:rPr>
        <w:t>(or leader in the case of a joint tender):</w:t>
      </w:r>
      <w:r w:rsidRPr="003478ED">
        <w:rPr>
          <w:rStyle w:val="eop"/>
          <w:sz w:val="22"/>
          <w:szCs w:val="22"/>
          <w:lang w:val="en-GB"/>
        </w:rPr>
        <w:t> </w:t>
      </w:r>
    </w:p>
    <w:p w14:paraId="0C86C618" w14:textId="77777777" w:rsidR="0095583E" w:rsidRPr="003478ED" w:rsidRDefault="0095583E" w:rsidP="00215F58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sz w:val="22"/>
          <w:szCs w:val="22"/>
          <w:lang w:val="en-GB"/>
        </w:rPr>
        <w:t>[</w:t>
      </w:r>
      <w:r w:rsidRPr="003478ED">
        <w:rPr>
          <w:highlight w:val="yellow"/>
          <w:lang w:val="en-IE"/>
        </w:rPr>
        <w:t>Full</w:t>
      </w:r>
      <w:r w:rsidRPr="003478ED">
        <w:rPr>
          <w:rStyle w:val="normaltextrun"/>
          <w:sz w:val="22"/>
          <w:szCs w:val="22"/>
          <w:shd w:val="clear" w:color="auto" w:fill="C0C0C0"/>
          <w:lang w:val="en-GB"/>
        </w:rPr>
        <w:t xml:space="preserve"> </w:t>
      </w:r>
      <w:r w:rsidRPr="003478ED">
        <w:rPr>
          <w:highlight w:val="yellow"/>
          <w:lang w:val="en-IE"/>
        </w:rPr>
        <w:t>name</w:t>
      </w:r>
      <w:r w:rsidRPr="003478ED">
        <w:rPr>
          <w:rStyle w:val="normaltextrun"/>
          <w:sz w:val="22"/>
          <w:szCs w:val="22"/>
          <w:lang w:val="en-GB"/>
        </w:rPr>
        <w:t>]</w:t>
      </w:r>
      <w:r w:rsidRPr="003478ED">
        <w:rPr>
          <w:rStyle w:val="eop"/>
          <w:sz w:val="22"/>
          <w:szCs w:val="22"/>
          <w:lang w:val="en-GB"/>
        </w:rPr>
        <w:t> </w:t>
      </w:r>
    </w:p>
    <w:p w14:paraId="296A4E21" w14:textId="77777777" w:rsidR="0095583E" w:rsidRPr="003478ED" w:rsidRDefault="0095583E" w:rsidP="00215F58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sz w:val="22"/>
          <w:szCs w:val="22"/>
          <w:lang w:val="en-GB"/>
        </w:rPr>
        <w:t>[</w:t>
      </w:r>
      <w:r w:rsidRPr="003478ED">
        <w:rPr>
          <w:highlight w:val="yellow"/>
          <w:lang w:val="en-IE"/>
        </w:rPr>
        <w:t>Function</w:t>
      </w:r>
      <w:r w:rsidRPr="003478ED">
        <w:rPr>
          <w:rStyle w:val="normaltextrun"/>
          <w:sz w:val="22"/>
          <w:szCs w:val="22"/>
          <w:lang w:val="en-GB"/>
        </w:rPr>
        <w:t>]</w:t>
      </w:r>
      <w:r w:rsidRPr="003478ED">
        <w:rPr>
          <w:rStyle w:val="eop"/>
          <w:sz w:val="22"/>
          <w:szCs w:val="22"/>
          <w:lang w:val="en-GB"/>
        </w:rPr>
        <w:t> </w:t>
      </w:r>
    </w:p>
    <w:p w14:paraId="6E43FF6F" w14:textId="77777777" w:rsidR="0095583E" w:rsidRPr="003478ED" w:rsidRDefault="0095583E" w:rsidP="00215F58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sz w:val="22"/>
          <w:szCs w:val="22"/>
          <w:lang w:val="en-GB"/>
        </w:rPr>
        <w:t>[</w:t>
      </w:r>
      <w:r w:rsidRPr="003478ED">
        <w:rPr>
          <w:highlight w:val="yellow"/>
          <w:lang w:val="en-IE"/>
        </w:rPr>
        <w:t>Company</w:t>
      </w:r>
      <w:r w:rsidRPr="003478ED">
        <w:rPr>
          <w:rStyle w:val="normaltextrun"/>
          <w:sz w:val="22"/>
          <w:szCs w:val="22"/>
          <w:shd w:val="clear" w:color="auto" w:fill="C0C0C0"/>
          <w:lang w:val="en-GB"/>
        </w:rPr>
        <w:t xml:space="preserve"> </w:t>
      </w:r>
      <w:r w:rsidRPr="003478ED">
        <w:rPr>
          <w:highlight w:val="yellow"/>
          <w:lang w:val="en-IE"/>
        </w:rPr>
        <w:t>name</w:t>
      </w:r>
      <w:r w:rsidRPr="003478ED">
        <w:rPr>
          <w:rStyle w:val="normaltextrun"/>
          <w:sz w:val="22"/>
          <w:szCs w:val="22"/>
          <w:lang w:val="en-GB"/>
        </w:rPr>
        <w:t>]</w:t>
      </w:r>
      <w:r w:rsidRPr="003478ED">
        <w:rPr>
          <w:rStyle w:val="eop"/>
          <w:sz w:val="22"/>
          <w:szCs w:val="22"/>
          <w:lang w:val="en-GB"/>
        </w:rPr>
        <w:t> </w:t>
      </w:r>
    </w:p>
    <w:p w14:paraId="41AB2F0C" w14:textId="77777777" w:rsidR="0095583E" w:rsidRPr="003478ED" w:rsidRDefault="0095583E" w:rsidP="00215F58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sz w:val="22"/>
          <w:szCs w:val="22"/>
          <w:lang w:val="en-GB"/>
        </w:rPr>
        <w:t>[</w:t>
      </w:r>
      <w:r w:rsidRPr="003478ED">
        <w:rPr>
          <w:highlight w:val="yellow"/>
          <w:lang w:val="en-IE"/>
        </w:rPr>
        <w:t>Full official address</w:t>
      </w:r>
      <w:r w:rsidRPr="003478ED">
        <w:rPr>
          <w:rStyle w:val="normaltextrun"/>
          <w:sz w:val="22"/>
          <w:szCs w:val="22"/>
          <w:lang w:val="en-GB"/>
        </w:rPr>
        <w:t>]</w:t>
      </w:r>
      <w:r w:rsidRPr="003478ED">
        <w:rPr>
          <w:rStyle w:val="eop"/>
          <w:sz w:val="22"/>
          <w:szCs w:val="22"/>
          <w:lang w:val="en-GB"/>
        </w:rPr>
        <w:t> </w:t>
      </w:r>
    </w:p>
    <w:p w14:paraId="06FC1F72" w14:textId="54ECAF21" w:rsidR="0095583E" w:rsidRPr="008B101A" w:rsidRDefault="0095583E" w:rsidP="008B101A">
      <w:pPr>
        <w:pStyle w:val="paragraph"/>
        <w:spacing w:before="0" w:beforeAutospacing="0"/>
        <w:ind w:left="1194"/>
        <w:textAlignment w:val="baseline"/>
        <w:rPr>
          <w:sz w:val="22"/>
          <w:szCs w:val="22"/>
          <w:lang w:val="en-GB"/>
        </w:rPr>
      </w:pPr>
      <w:r w:rsidRPr="003478ED">
        <w:rPr>
          <w:rStyle w:val="normaltextrun"/>
          <w:sz w:val="22"/>
          <w:szCs w:val="22"/>
          <w:lang w:val="en-GB"/>
        </w:rPr>
        <w:t>Email: [</w:t>
      </w:r>
      <w:r w:rsidRPr="003478ED">
        <w:rPr>
          <w:highlight w:val="yellow"/>
          <w:lang w:val="en-IE"/>
        </w:rPr>
        <w:t>complete</w:t>
      </w:r>
      <w:r w:rsidRPr="003478ED">
        <w:rPr>
          <w:rStyle w:val="normaltextrun"/>
          <w:sz w:val="22"/>
          <w:szCs w:val="22"/>
          <w:lang w:val="en-GB"/>
        </w:rPr>
        <w:t>]</w:t>
      </w:r>
      <w:r w:rsidRPr="00E4739B">
        <w:rPr>
          <w:rStyle w:val="eop"/>
          <w:sz w:val="22"/>
          <w:szCs w:val="22"/>
          <w:lang w:val="en-GB"/>
        </w:rPr>
        <w:t> </w:t>
      </w:r>
    </w:p>
    <w:p w14:paraId="18E30493" w14:textId="77777777" w:rsidR="00186098" w:rsidRPr="008B101A" w:rsidRDefault="00186098" w:rsidP="008B101A">
      <w:pPr>
        <w:pStyle w:val="ListNumber"/>
        <w:numPr>
          <w:ilvl w:val="0"/>
          <w:numId w:val="0"/>
        </w:numPr>
        <w:tabs>
          <w:tab w:val="left" w:pos="1134"/>
        </w:tabs>
        <w:spacing w:before="240"/>
        <w:ind w:left="567" w:hanging="567"/>
        <w:rPr>
          <w:b/>
          <w:szCs w:val="24"/>
        </w:rPr>
      </w:pPr>
      <w:r w:rsidRPr="008B101A">
        <w:rPr>
          <w:b/>
          <w:szCs w:val="24"/>
        </w:rPr>
        <w:t>Article 7</w:t>
      </w:r>
      <w:r w:rsidRPr="008B101A">
        <w:rPr>
          <w:b/>
          <w:szCs w:val="24"/>
        </w:rPr>
        <w:tab/>
        <w:t xml:space="preserve">General </w:t>
      </w:r>
      <w:r w:rsidR="004E2AD3" w:rsidRPr="008B101A">
        <w:rPr>
          <w:b/>
          <w:szCs w:val="24"/>
        </w:rPr>
        <w:t>o</w:t>
      </w:r>
      <w:r w:rsidRPr="008B101A">
        <w:rPr>
          <w:b/>
          <w:szCs w:val="24"/>
        </w:rPr>
        <w:t>bligations</w:t>
      </w:r>
    </w:p>
    <w:p w14:paraId="3076F777" w14:textId="199507FD" w:rsidR="00FC1492" w:rsidRDefault="00186098" w:rsidP="00FC1492">
      <w:pPr>
        <w:pStyle w:val="ListNumber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7.8</w:t>
      </w:r>
      <w:r>
        <w:rPr>
          <w:sz w:val="22"/>
          <w:szCs w:val="22"/>
        </w:rPr>
        <w:tab/>
      </w:r>
      <w:r w:rsidR="008B101A" w:rsidRPr="008B101A">
        <w:rPr>
          <w:sz w:val="22"/>
          <w:szCs w:val="22"/>
        </w:rPr>
        <w:t xml:space="preserve">The Contractor must comply with publicity and visibility requirements of Interreg IPA CBC </w:t>
      </w:r>
      <w:r w:rsidR="006A5848" w:rsidRPr="006A5848">
        <w:rPr>
          <w:sz w:val="22"/>
          <w:szCs w:val="22"/>
        </w:rPr>
        <w:t xml:space="preserve">Croatia-Bosnia and Herzegovina-Montenegro </w:t>
      </w:r>
      <w:r w:rsidR="008B101A">
        <w:rPr>
          <w:sz w:val="22"/>
          <w:szCs w:val="22"/>
        </w:rPr>
        <w:t>Programme 2021-2027</w:t>
      </w:r>
      <w:r w:rsidR="008B101A" w:rsidRPr="008B101A">
        <w:rPr>
          <w:sz w:val="22"/>
          <w:szCs w:val="22"/>
        </w:rPr>
        <w:t>. For more information Contractor is advised to visit official website of the Programme:</w:t>
      </w:r>
    </w:p>
    <w:p w14:paraId="71A6065E" w14:textId="3F9E0B66" w:rsidR="00AB4C14" w:rsidRDefault="006A5848" w:rsidP="00FC1492">
      <w:pPr>
        <w:pStyle w:val="ListNumber"/>
        <w:numPr>
          <w:ilvl w:val="0"/>
          <w:numId w:val="0"/>
        </w:numPr>
        <w:ind w:left="1134" w:hanging="567"/>
        <w:rPr>
          <w:sz w:val="22"/>
          <w:szCs w:val="22"/>
        </w:rPr>
      </w:pPr>
      <w:hyperlink r:id="rId8" w:history="1">
        <w:r w:rsidRPr="008463F7">
          <w:rPr>
            <w:rStyle w:val="Hyperlink"/>
          </w:rPr>
          <w:t>https://interreg-hr-ba-me.eu/documents/implementation/</w:t>
        </w:r>
      </w:hyperlink>
      <w:r>
        <w:t xml:space="preserve"> </w:t>
      </w:r>
    </w:p>
    <w:p w14:paraId="42829268" w14:textId="77777777" w:rsidR="003A718E" w:rsidRPr="00DC413F" w:rsidRDefault="003A718E" w:rsidP="00215F58">
      <w:pPr>
        <w:tabs>
          <w:tab w:val="left" w:pos="1134"/>
        </w:tabs>
        <w:spacing w:before="120" w:after="0"/>
        <w:ind w:left="1134" w:hanging="1134"/>
        <w:rPr>
          <w:b/>
        </w:rPr>
      </w:pPr>
      <w:r w:rsidRPr="00DC413F">
        <w:rPr>
          <w:b/>
        </w:rPr>
        <w:t>Article 12 - Liabilities</w:t>
      </w:r>
    </w:p>
    <w:p w14:paraId="36FCF48F" w14:textId="4879EBE0" w:rsidR="003A718E" w:rsidRDefault="003A718E" w:rsidP="00AB4C14">
      <w:pPr>
        <w:tabs>
          <w:tab w:val="left" w:pos="567"/>
        </w:tabs>
        <w:spacing w:before="240" w:after="120"/>
        <w:ind w:left="567" w:hanging="567"/>
        <w:rPr>
          <w:sz w:val="22"/>
          <w:szCs w:val="22"/>
        </w:rPr>
      </w:pPr>
      <w:r w:rsidRPr="00B547BD">
        <w:rPr>
          <w:sz w:val="22"/>
          <w:szCs w:val="22"/>
        </w:rPr>
        <w:t xml:space="preserve">12.2 </w:t>
      </w:r>
      <w:r w:rsidR="00B547BD" w:rsidRPr="00B547BD">
        <w:rPr>
          <w:sz w:val="22"/>
          <w:szCs w:val="22"/>
        </w:rPr>
        <w:tab/>
      </w:r>
      <w:r w:rsidRPr="00AB4C14">
        <w:rPr>
          <w:sz w:val="22"/>
          <w:szCs w:val="22"/>
        </w:rPr>
        <w:t xml:space="preserve">By way of derogation from Article 12.2, paragraph 2, of the general conditions, compensation for damage resulting from the </w:t>
      </w:r>
      <w:r w:rsidR="00C559EF" w:rsidRPr="00AB4C14">
        <w:rPr>
          <w:sz w:val="22"/>
          <w:szCs w:val="22"/>
        </w:rPr>
        <w:t>c</w:t>
      </w:r>
      <w:r w:rsidRPr="00AB4C14">
        <w:rPr>
          <w:sz w:val="22"/>
          <w:szCs w:val="22"/>
        </w:rPr>
        <w:t xml:space="preserve">ontractor's </w:t>
      </w:r>
      <w:r w:rsidR="00A52BB8" w:rsidRPr="00AB4C14">
        <w:rPr>
          <w:sz w:val="22"/>
          <w:szCs w:val="22"/>
        </w:rPr>
        <w:t>l</w:t>
      </w:r>
      <w:r w:rsidRPr="00AB4C14">
        <w:rPr>
          <w:sz w:val="22"/>
          <w:szCs w:val="22"/>
        </w:rPr>
        <w:t>i</w:t>
      </w:r>
      <w:r w:rsidR="00A52BB8" w:rsidRPr="00AB4C14">
        <w:rPr>
          <w:sz w:val="22"/>
          <w:szCs w:val="22"/>
        </w:rPr>
        <w:t>a</w:t>
      </w:r>
      <w:r w:rsidRPr="00AB4C14">
        <w:rPr>
          <w:sz w:val="22"/>
          <w:szCs w:val="22"/>
        </w:rPr>
        <w:t xml:space="preserve">bility in respect of the </w:t>
      </w:r>
      <w:r w:rsidR="00C559EF" w:rsidRPr="00AB4C14">
        <w:rPr>
          <w:sz w:val="22"/>
          <w:szCs w:val="22"/>
        </w:rPr>
        <w:t>c</w:t>
      </w:r>
      <w:r w:rsidRPr="00AB4C14">
        <w:rPr>
          <w:sz w:val="22"/>
          <w:szCs w:val="22"/>
        </w:rPr>
        <w:t xml:space="preserve">ontracting </w:t>
      </w:r>
      <w:r w:rsidR="00C559EF" w:rsidRPr="00AB4C14">
        <w:rPr>
          <w:sz w:val="22"/>
          <w:szCs w:val="22"/>
        </w:rPr>
        <w:t>a</w:t>
      </w:r>
      <w:r w:rsidRPr="00AB4C14">
        <w:rPr>
          <w:sz w:val="22"/>
          <w:szCs w:val="22"/>
        </w:rPr>
        <w:t>uthority is capped at an amount equal to</w:t>
      </w:r>
      <w:r w:rsidR="00AB4C14" w:rsidRPr="00AB4C14">
        <w:rPr>
          <w:sz w:val="22"/>
          <w:szCs w:val="22"/>
        </w:rPr>
        <w:t xml:space="preserve"> the contract value.</w:t>
      </w:r>
    </w:p>
    <w:p w14:paraId="6E4F72C8" w14:textId="77777777" w:rsidR="009642E7" w:rsidRPr="00B8227D" w:rsidRDefault="00A1628E" w:rsidP="008F222F">
      <w:pPr>
        <w:keepNext/>
        <w:keepLines/>
        <w:tabs>
          <w:tab w:val="left" w:pos="1134"/>
        </w:tabs>
        <w:spacing w:before="240" w:after="120"/>
        <w:ind w:left="1134" w:hanging="1134"/>
        <w:rPr>
          <w:b/>
        </w:rPr>
      </w:pPr>
      <w:r w:rsidRPr="00B8227D">
        <w:rPr>
          <w:b/>
        </w:rPr>
        <w:t>Article</w:t>
      </w:r>
      <w:r w:rsidR="00B8227D">
        <w:rPr>
          <w:b/>
        </w:rPr>
        <w:t xml:space="preserve"> </w:t>
      </w:r>
      <w:r w:rsidRPr="00B8227D">
        <w:rPr>
          <w:b/>
        </w:rPr>
        <w:t>26</w:t>
      </w:r>
      <w:r w:rsidRPr="00B8227D">
        <w:rPr>
          <w:b/>
        </w:rPr>
        <w:tab/>
      </w:r>
      <w:r w:rsidR="00EF3B57" w:rsidRPr="00B8227D">
        <w:rPr>
          <w:b/>
        </w:rPr>
        <w:t xml:space="preserve">Interim and </w:t>
      </w:r>
      <w:r w:rsidR="00D72E94">
        <w:rPr>
          <w:b/>
        </w:rPr>
        <w:t>f</w:t>
      </w:r>
      <w:r w:rsidR="00EF3B57" w:rsidRPr="00B8227D">
        <w:rPr>
          <w:b/>
        </w:rPr>
        <w:t xml:space="preserve">inal </w:t>
      </w:r>
      <w:r w:rsidR="00D72E94">
        <w:rPr>
          <w:b/>
        </w:rPr>
        <w:t>r</w:t>
      </w:r>
      <w:r w:rsidR="009642E7" w:rsidRPr="00B8227D">
        <w:rPr>
          <w:b/>
        </w:rPr>
        <w:t>eport</w:t>
      </w:r>
      <w:r w:rsidR="00EF3B57" w:rsidRPr="00B8227D">
        <w:rPr>
          <w:b/>
        </w:rPr>
        <w:t>s</w:t>
      </w:r>
      <w:bookmarkEnd w:id="0"/>
    </w:p>
    <w:p w14:paraId="78F34E2D" w14:textId="77777777" w:rsidR="009642E7" w:rsidRPr="0036136C" w:rsidRDefault="009642E7" w:rsidP="00B547BD">
      <w:pPr>
        <w:spacing w:after="120"/>
        <w:ind w:left="567"/>
        <w:rPr>
          <w:sz w:val="22"/>
          <w:szCs w:val="22"/>
        </w:rPr>
      </w:pPr>
      <w:r w:rsidRPr="0036136C">
        <w:rPr>
          <w:sz w:val="22"/>
          <w:szCs w:val="22"/>
        </w:rPr>
        <w:t xml:space="preserve">The </w:t>
      </w:r>
      <w:r w:rsidR="00C559EF">
        <w:rPr>
          <w:sz w:val="22"/>
          <w:szCs w:val="22"/>
        </w:rPr>
        <w:t>c</w:t>
      </w:r>
      <w:r w:rsidR="00805B43" w:rsidRPr="0036136C">
        <w:rPr>
          <w:sz w:val="22"/>
          <w:szCs w:val="22"/>
        </w:rPr>
        <w:t>ontractor</w:t>
      </w:r>
      <w:r w:rsidRPr="0036136C">
        <w:rPr>
          <w:sz w:val="22"/>
          <w:szCs w:val="22"/>
        </w:rPr>
        <w:t xml:space="preserve"> shall submit </w:t>
      </w:r>
      <w:r w:rsidR="00FD2EAF" w:rsidRPr="0036136C">
        <w:rPr>
          <w:sz w:val="22"/>
          <w:szCs w:val="22"/>
        </w:rPr>
        <w:t xml:space="preserve">progress </w:t>
      </w:r>
      <w:r w:rsidRPr="0036136C">
        <w:rPr>
          <w:sz w:val="22"/>
          <w:szCs w:val="22"/>
        </w:rPr>
        <w:t xml:space="preserve">reports as specified in the </w:t>
      </w:r>
      <w:r w:rsidR="00D72E94">
        <w:rPr>
          <w:sz w:val="22"/>
          <w:szCs w:val="22"/>
        </w:rPr>
        <w:t>t</w:t>
      </w:r>
      <w:r w:rsidRPr="0036136C">
        <w:rPr>
          <w:sz w:val="22"/>
          <w:szCs w:val="22"/>
        </w:rPr>
        <w:t xml:space="preserve">erms of </w:t>
      </w:r>
      <w:r w:rsidR="00D72E94">
        <w:rPr>
          <w:sz w:val="22"/>
          <w:szCs w:val="22"/>
        </w:rPr>
        <w:t>r</w:t>
      </w:r>
      <w:r w:rsidRPr="0036136C">
        <w:rPr>
          <w:sz w:val="22"/>
          <w:szCs w:val="22"/>
        </w:rPr>
        <w:t>eference.</w:t>
      </w:r>
    </w:p>
    <w:p w14:paraId="290B075D" w14:textId="77777777" w:rsidR="00B252A4" w:rsidRPr="00D437F9" w:rsidRDefault="00B252A4" w:rsidP="008F222F">
      <w:pPr>
        <w:keepNext/>
        <w:keepLines/>
        <w:tabs>
          <w:tab w:val="left" w:pos="1134"/>
        </w:tabs>
        <w:spacing w:before="240" w:after="120"/>
        <w:ind w:left="1134" w:hanging="1134"/>
        <w:rPr>
          <w:b/>
        </w:rPr>
      </w:pPr>
      <w:r w:rsidRPr="00D437F9">
        <w:rPr>
          <w:b/>
        </w:rPr>
        <w:t>Article 27</w:t>
      </w:r>
      <w:r w:rsidRPr="00D437F9">
        <w:rPr>
          <w:b/>
        </w:rPr>
        <w:tab/>
        <w:t xml:space="preserve">Approval of </w:t>
      </w:r>
      <w:r w:rsidR="00D72E94" w:rsidRPr="00D437F9">
        <w:rPr>
          <w:b/>
        </w:rPr>
        <w:t>r</w:t>
      </w:r>
      <w:r w:rsidRPr="00D437F9">
        <w:rPr>
          <w:b/>
        </w:rPr>
        <w:t xml:space="preserve">eports and </w:t>
      </w:r>
      <w:r w:rsidR="00D72E94" w:rsidRPr="00D437F9">
        <w:rPr>
          <w:b/>
        </w:rPr>
        <w:t>d</w:t>
      </w:r>
      <w:r w:rsidRPr="00D437F9">
        <w:rPr>
          <w:b/>
        </w:rPr>
        <w:t>ocuments</w:t>
      </w:r>
    </w:p>
    <w:p w14:paraId="0380DBB3" w14:textId="0C0674FE" w:rsidR="00B252A4" w:rsidRDefault="00B252A4" w:rsidP="00D437F9">
      <w:pPr>
        <w:pStyle w:val="ListNumber"/>
        <w:numPr>
          <w:ilvl w:val="0"/>
          <w:numId w:val="0"/>
        </w:numPr>
        <w:spacing w:after="120"/>
        <w:ind w:left="567" w:hanging="567"/>
        <w:rPr>
          <w:sz w:val="22"/>
          <w:szCs w:val="22"/>
        </w:rPr>
      </w:pPr>
      <w:r w:rsidRPr="0036136C">
        <w:rPr>
          <w:sz w:val="22"/>
          <w:szCs w:val="22"/>
        </w:rPr>
        <w:t>27.5</w:t>
      </w:r>
      <w:r w:rsidR="00B8227D">
        <w:rPr>
          <w:sz w:val="22"/>
          <w:szCs w:val="22"/>
        </w:rPr>
        <w:tab/>
      </w:r>
      <w:r w:rsidRPr="00D437F9">
        <w:rPr>
          <w:sz w:val="22"/>
          <w:szCs w:val="22"/>
        </w:rPr>
        <w:t xml:space="preserve">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ontracting </w:t>
      </w:r>
      <w:r w:rsidR="00C559EF" w:rsidRPr="00D437F9">
        <w:rPr>
          <w:sz w:val="22"/>
          <w:szCs w:val="22"/>
        </w:rPr>
        <w:t>a</w:t>
      </w:r>
      <w:r w:rsidRPr="00D437F9">
        <w:rPr>
          <w:sz w:val="22"/>
          <w:szCs w:val="22"/>
        </w:rPr>
        <w:t xml:space="preserve">uthority shall, within </w:t>
      </w:r>
      <w:r w:rsidR="006A5848">
        <w:rPr>
          <w:sz w:val="22"/>
          <w:szCs w:val="22"/>
        </w:rPr>
        <w:t>30</w:t>
      </w:r>
      <w:r w:rsidRPr="00D437F9">
        <w:rPr>
          <w:sz w:val="22"/>
          <w:szCs w:val="22"/>
        </w:rPr>
        <w:t xml:space="preserve"> days of receipt, notify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ontractor of its decision concerning the documents or reports received by it, giving reasons should it reject the reports or documents, or request amendments. If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ontracting </w:t>
      </w:r>
      <w:r w:rsidR="00C559EF" w:rsidRPr="00D437F9">
        <w:rPr>
          <w:sz w:val="22"/>
          <w:szCs w:val="22"/>
        </w:rPr>
        <w:t>a</w:t>
      </w:r>
      <w:r w:rsidRPr="00D437F9">
        <w:rPr>
          <w:sz w:val="22"/>
          <w:szCs w:val="22"/>
        </w:rPr>
        <w:t xml:space="preserve">uthority does not give any comments on the documents or reports within the time limit,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ontractor may request written acceptance of them. The documents or reports shall </w:t>
      </w:r>
      <w:r w:rsidR="00995D7A" w:rsidRPr="00D437F9">
        <w:rPr>
          <w:sz w:val="22"/>
          <w:szCs w:val="22"/>
        </w:rPr>
        <w:t xml:space="preserve">in any case </w:t>
      </w:r>
      <w:r w:rsidRPr="00D437F9">
        <w:rPr>
          <w:sz w:val="22"/>
          <w:szCs w:val="22"/>
        </w:rPr>
        <w:t xml:space="preserve">be deemed to have been approved by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ontracting </w:t>
      </w:r>
      <w:r w:rsidR="00C559EF" w:rsidRPr="00D437F9">
        <w:rPr>
          <w:sz w:val="22"/>
          <w:szCs w:val="22"/>
        </w:rPr>
        <w:t>a</w:t>
      </w:r>
      <w:r w:rsidRPr="00D437F9">
        <w:rPr>
          <w:sz w:val="22"/>
          <w:szCs w:val="22"/>
        </w:rPr>
        <w:t xml:space="preserve">uthority if it does not expressly inform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ontractor of any comments within </w:t>
      </w:r>
      <w:r w:rsidR="006A5848">
        <w:rPr>
          <w:sz w:val="22"/>
          <w:szCs w:val="22"/>
        </w:rPr>
        <w:t>30</w:t>
      </w:r>
      <w:r w:rsidRPr="00D437F9">
        <w:rPr>
          <w:sz w:val="22"/>
          <w:szCs w:val="22"/>
        </w:rPr>
        <w:t xml:space="preserve"> days of the receipt of the </w:t>
      </w:r>
      <w:r w:rsidR="00995D7A" w:rsidRPr="00D437F9">
        <w:rPr>
          <w:sz w:val="22"/>
          <w:szCs w:val="22"/>
        </w:rPr>
        <w:t xml:space="preserve">documents or </w:t>
      </w:r>
      <w:r w:rsidRPr="00D437F9">
        <w:rPr>
          <w:sz w:val="22"/>
          <w:szCs w:val="22"/>
        </w:rPr>
        <w:t>report</w:t>
      </w:r>
      <w:r w:rsidR="00995D7A" w:rsidRPr="00D437F9">
        <w:rPr>
          <w:sz w:val="22"/>
          <w:szCs w:val="22"/>
        </w:rPr>
        <w:t>s</w:t>
      </w:r>
      <w:r w:rsidR="00730A8A" w:rsidRPr="00D437F9">
        <w:rPr>
          <w:sz w:val="22"/>
          <w:szCs w:val="22"/>
        </w:rPr>
        <w:t>.</w:t>
      </w:r>
    </w:p>
    <w:p w14:paraId="01791090" w14:textId="77777777" w:rsidR="00694695" w:rsidRPr="00586E35" w:rsidRDefault="00694695" w:rsidP="00215F58">
      <w:pPr>
        <w:pStyle w:val="ListNumber"/>
        <w:numPr>
          <w:ilvl w:val="0"/>
          <w:numId w:val="0"/>
        </w:numPr>
        <w:tabs>
          <w:tab w:val="left" w:pos="1134"/>
        </w:tabs>
        <w:spacing w:before="120" w:after="120"/>
        <w:ind w:left="709" w:hanging="709"/>
        <w:rPr>
          <w:b/>
          <w:lang w:eastAsia="en-GB"/>
        </w:rPr>
      </w:pPr>
      <w:r w:rsidRPr="00586E35">
        <w:rPr>
          <w:b/>
          <w:lang w:eastAsia="en-GB"/>
        </w:rPr>
        <w:t>Article 28</w:t>
      </w:r>
      <w:r w:rsidRPr="00586E35">
        <w:rPr>
          <w:b/>
          <w:lang w:eastAsia="en-GB"/>
        </w:rPr>
        <w:tab/>
        <w:t>Expenditure verification</w:t>
      </w:r>
    </w:p>
    <w:p w14:paraId="703EA51E" w14:textId="14076379" w:rsidR="00C76AB4" w:rsidRPr="0036136C" w:rsidRDefault="00694695" w:rsidP="00AB4C14">
      <w:pPr>
        <w:pStyle w:val="ListNumber"/>
        <w:numPr>
          <w:ilvl w:val="0"/>
          <w:numId w:val="0"/>
        </w:numPr>
        <w:spacing w:after="120"/>
        <w:ind w:left="567" w:hanging="567"/>
        <w:rPr>
          <w:sz w:val="22"/>
          <w:szCs w:val="22"/>
        </w:rPr>
      </w:pPr>
      <w:r w:rsidRPr="00AB4C14">
        <w:rPr>
          <w:sz w:val="22"/>
          <w:szCs w:val="22"/>
        </w:rPr>
        <w:t>28.2</w:t>
      </w:r>
      <w:r w:rsidRPr="00AB4C14">
        <w:rPr>
          <w:sz w:val="22"/>
          <w:szCs w:val="22"/>
        </w:rPr>
        <w:tab/>
      </w:r>
      <w:r w:rsidR="00C76AB4" w:rsidRPr="00AB4C14">
        <w:rPr>
          <w:sz w:val="22"/>
          <w:szCs w:val="22"/>
        </w:rPr>
        <w:t>By derogation from article 28 the verification will be made by the contracting authority and all references to an expenditure verification report will not be applicable.</w:t>
      </w:r>
    </w:p>
    <w:p w14:paraId="04DE5F61" w14:textId="77777777" w:rsidR="009642E7" w:rsidRPr="00B8227D" w:rsidRDefault="00A1628E" w:rsidP="004443F8">
      <w:pPr>
        <w:keepNext/>
        <w:keepLines/>
        <w:tabs>
          <w:tab w:val="left" w:pos="1134"/>
        </w:tabs>
        <w:spacing w:before="240" w:after="120"/>
        <w:ind w:left="1134" w:hanging="1134"/>
        <w:rPr>
          <w:b/>
        </w:rPr>
      </w:pPr>
      <w:r w:rsidRPr="00B8227D">
        <w:rPr>
          <w:b/>
        </w:rPr>
        <w:lastRenderedPageBreak/>
        <w:t>Article 29</w:t>
      </w:r>
      <w:r w:rsidRPr="00B8227D">
        <w:rPr>
          <w:b/>
        </w:rPr>
        <w:tab/>
      </w:r>
      <w:r w:rsidR="009642E7" w:rsidRPr="00B8227D">
        <w:rPr>
          <w:b/>
        </w:rPr>
        <w:t>Payment</w:t>
      </w:r>
      <w:r w:rsidRPr="00B8227D">
        <w:rPr>
          <w:b/>
        </w:rPr>
        <w:t xml:space="preserve"> and interest on late payment</w:t>
      </w:r>
    </w:p>
    <w:p w14:paraId="45896D1F" w14:textId="4F192E9C" w:rsidR="000339D4" w:rsidRPr="003478ED" w:rsidRDefault="00A1628E" w:rsidP="003478ED">
      <w:pPr>
        <w:keepNext/>
        <w:keepLines/>
        <w:spacing w:after="120"/>
        <w:ind w:left="567" w:hanging="567"/>
        <w:rPr>
          <w:sz w:val="22"/>
          <w:szCs w:val="22"/>
          <w:highlight w:val="yellow"/>
        </w:rPr>
      </w:pPr>
      <w:r w:rsidRPr="0036136C">
        <w:rPr>
          <w:sz w:val="22"/>
          <w:szCs w:val="22"/>
        </w:rPr>
        <w:t>29.1</w:t>
      </w:r>
      <w:r w:rsidR="009642E7" w:rsidRPr="0036136C">
        <w:rPr>
          <w:sz w:val="22"/>
          <w:szCs w:val="22"/>
        </w:rPr>
        <w:tab/>
      </w:r>
      <w:r w:rsidR="00EF3B57" w:rsidRPr="0036136C">
        <w:rPr>
          <w:sz w:val="22"/>
          <w:szCs w:val="22"/>
        </w:rPr>
        <w:t xml:space="preserve">Payments </w:t>
      </w:r>
      <w:r w:rsidR="00995D7A">
        <w:rPr>
          <w:sz w:val="22"/>
          <w:szCs w:val="22"/>
        </w:rPr>
        <w:t>shall</w:t>
      </w:r>
      <w:r w:rsidR="00EF3B57" w:rsidRPr="0036136C">
        <w:rPr>
          <w:sz w:val="22"/>
          <w:szCs w:val="22"/>
        </w:rPr>
        <w:t xml:space="preserve"> be made in accordance with the following the </w:t>
      </w:r>
      <w:r w:rsidR="00B8227D" w:rsidRPr="0036136C">
        <w:rPr>
          <w:sz w:val="22"/>
          <w:szCs w:val="22"/>
        </w:rPr>
        <w:t>option:</w:t>
      </w:r>
      <w:r w:rsidR="00B8227D" w:rsidRPr="0036136C">
        <w:rPr>
          <w:sz w:val="22"/>
          <w:szCs w:val="22"/>
          <w:highlight w:val="yellow"/>
        </w:rPr>
        <w:t xml:space="preserve"> </w:t>
      </w:r>
    </w:p>
    <w:tbl>
      <w:tblPr>
        <w:tblW w:w="82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387"/>
        <w:gridCol w:w="1701"/>
      </w:tblGrid>
      <w:tr w:rsidR="009642E7" w:rsidRPr="0036136C" w14:paraId="4CAEE398" w14:textId="77777777" w:rsidTr="00FC1492">
        <w:trPr>
          <w:cantSplit/>
          <w:trHeight w:val="345"/>
        </w:trPr>
        <w:tc>
          <w:tcPr>
            <w:tcW w:w="1134" w:type="dxa"/>
          </w:tcPr>
          <w:p w14:paraId="6A54F2BC" w14:textId="77777777" w:rsidR="009642E7" w:rsidRPr="0036136C" w:rsidRDefault="009642E7">
            <w:pPr>
              <w:keepNext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Month</w:t>
            </w:r>
          </w:p>
        </w:tc>
        <w:tc>
          <w:tcPr>
            <w:tcW w:w="5387" w:type="dxa"/>
          </w:tcPr>
          <w:p w14:paraId="57F11659" w14:textId="3A58DD3A" w:rsidR="009642E7" w:rsidRPr="00BF5D67" w:rsidRDefault="00AB4C14" w:rsidP="00BF5D67">
            <w:pPr>
              <w:keepNext/>
              <w:spacing w:before="40" w:after="40"/>
              <w:rPr>
                <w:b/>
                <w:sz w:val="22"/>
                <w:szCs w:val="22"/>
              </w:rPr>
            </w:pPr>
            <w:r w:rsidRPr="00BF5D67">
              <w:rPr>
                <w:b/>
                <w:sz w:val="22"/>
                <w:szCs w:val="22"/>
              </w:rPr>
              <w:t>Content</w:t>
            </w:r>
          </w:p>
        </w:tc>
        <w:tc>
          <w:tcPr>
            <w:tcW w:w="1701" w:type="dxa"/>
          </w:tcPr>
          <w:p w14:paraId="56F33E6E" w14:textId="7C59731E" w:rsidR="009642E7" w:rsidRPr="0036136C" w:rsidRDefault="00AB4C14">
            <w:pPr>
              <w:keepNext/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EUR</w:t>
            </w:r>
          </w:p>
        </w:tc>
      </w:tr>
      <w:tr w:rsidR="00D437F9" w:rsidRPr="0036136C" w14:paraId="5EFF9A61" w14:textId="77777777" w:rsidTr="00FC1492">
        <w:trPr>
          <w:cantSplit/>
          <w:trHeight w:val="693"/>
        </w:trPr>
        <w:tc>
          <w:tcPr>
            <w:tcW w:w="1134" w:type="dxa"/>
          </w:tcPr>
          <w:p w14:paraId="25273DB8" w14:textId="77777777" w:rsidR="00D437F9" w:rsidRDefault="00D437F9" w:rsidP="00D437F9">
            <w:pPr>
              <w:keepNext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&lt;</w:t>
            </w:r>
            <w:r w:rsidRPr="00586E35">
              <w:rPr>
                <w:b/>
                <w:sz w:val="22"/>
                <w:szCs w:val="22"/>
                <w:highlight w:val="yellow"/>
              </w:rPr>
              <w:t>Month/ year number</w:t>
            </w:r>
            <w:r w:rsidRPr="0036136C">
              <w:rPr>
                <w:b/>
                <w:sz w:val="22"/>
                <w:szCs w:val="22"/>
              </w:rPr>
              <w:t>&gt;</w:t>
            </w:r>
          </w:p>
          <w:p w14:paraId="6C5E0BB1" w14:textId="73A3F74E" w:rsidR="00D437F9" w:rsidRPr="0036136C" w:rsidRDefault="006A5848" w:rsidP="00D437F9">
            <w:pPr>
              <w:keepNext/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6EF37E75" w14:textId="137A4760" w:rsidR="00D437F9" w:rsidRPr="00BF5D67" w:rsidRDefault="006A5848" w:rsidP="00BF5D67">
            <w:pPr>
              <w:keepNext/>
              <w:spacing w:before="40" w:after="40"/>
              <w:jc w:val="left"/>
              <w:rPr>
                <w:b/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Baseline (reference) survey package</w:t>
            </w:r>
            <w:r w:rsidRPr="00BF5D67">
              <w:rPr>
                <w:sz w:val="22"/>
                <w:szCs w:val="22"/>
              </w:rPr>
              <w:t xml:space="preserve"> for all pilot beaches: completion of baseline aerial + underwater surveys; delivery of processed datasets (e.g., georeferenced orthophotos/TDO, DTM, classified point clouds) and </w:t>
            </w:r>
            <w:r w:rsidRPr="00BF5D67">
              <w:rPr>
                <w:rStyle w:val="Strong"/>
                <w:sz w:val="22"/>
                <w:szCs w:val="22"/>
              </w:rPr>
              <w:t>Baseline Report</w:t>
            </w:r>
            <w:r w:rsidRPr="00BF5D67">
              <w:rPr>
                <w:sz w:val="22"/>
                <w:szCs w:val="22"/>
              </w:rPr>
              <w:t xml:space="preserve"> (methodology, QA/QC, control points, metadata, and baseline volumes). </w:t>
            </w:r>
            <w:r w:rsidRPr="00BF5D67">
              <w:rPr>
                <w:rStyle w:val="Strong"/>
                <w:sz w:val="22"/>
                <w:szCs w:val="22"/>
              </w:rPr>
              <w:t>Corresponding invoice.</w:t>
            </w:r>
          </w:p>
        </w:tc>
        <w:tc>
          <w:tcPr>
            <w:tcW w:w="1701" w:type="dxa"/>
          </w:tcPr>
          <w:p w14:paraId="2A0DA273" w14:textId="7B2B1CCA" w:rsidR="00D437F9" w:rsidRDefault="00BF5D67" w:rsidP="00D437F9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7F9" w:rsidRPr="00D437F9">
              <w:rPr>
                <w:sz w:val="22"/>
                <w:szCs w:val="22"/>
              </w:rPr>
              <w:t xml:space="preserve">0% </w:t>
            </w:r>
          </w:p>
          <w:p w14:paraId="0E4743C5" w14:textId="50D8D91A" w:rsidR="00D437F9" w:rsidRPr="00D437F9" w:rsidRDefault="00D437F9" w:rsidP="00D437F9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D437F9">
              <w:rPr>
                <w:sz w:val="22"/>
                <w:szCs w:val="22"/>
              </w:rPr>
              <w:t>of the contract value</w:t>
            </w:r>
          </w:p>
        </w:tc>
      </w:tr>
      <w:tr w:rsidR="00D437F9" w:rsidRPr="0036136C" w14:paraId="37567447" w14:textId="77777777" w:rsidTr="00FC1492">
        <w:trPr>
          <w:cantSplit/>
          <w:trHeight w:val="831"/>
        </w:trPr>
        <w:tc>
          <w:tcPr>
            <w:tcW w:w="1134" w:type="dxa"/>
            <w:tcBorders>
              <w:bottom w:val="nil"/>
            </w:tcBorders>
          </w:tcPr>
          <w:p w14:paraId="40617C6B" w14:textId="77777777" w:rsidR="00D437F9" w:rsidRDefault="00D437F9" w:rsidP="00D437F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&lt;</w:t>
            </w:r>
            <w:r w:rsidRPr="00586E35">
              <w:rPr>
                <w:b/>
                <w:sz w:val="22"/>
                <w:szCs w:val="22"/>
                <w:highlight w:val="yellow"/>
              </w:rPr>
              <w:t>Month/ year number</w:t>
            </w:r>
            <w:r w:rsidRPr="0036136C">
              <w:rPr>
                <w:b/>
                <w:sz w:val="22"/>
                <w:szCs w:val="22"/>
              </w:rPr>
              <w:t>&gt;</w:t>
            </w:r>
          </w:p>
          <w:p w14:paraId="0ED275D3" w14:textId="2DCADA1C" w:rsidR="00D437F9" w:rsidRPr="0036136C" w:rsidRDefault="006A5848" w:rsidP="00D437F9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5387" w:type="dxa"/>
            <w:tcBorders>
              <w:bottom w:val="nil"/>
            </w:tcBorders>
          </w:tcPr>
          <w:p w14:paraId="44832F07" w14:textId="77777777" w:rsidR="00BF5D67" w:rsidRDefault="006A5848" w:rsidP="00BF5D67">
            <w:pPr>
              <w:keepNext/>
              <w:spacing w:before="40" w:after="40"/>
              <w:jc w:val="left"/>
              <w:rPr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Monitoring Cycle 1 package</w:t>
            </w:r>
            <w:r w:rsidRPr="00BF5D67">
              <w:rPr>
                <w:sz w:val="22"/>
                <w:szCs w:val="22"/>
              </w:rPr>
              <w:t xml:space="preserve"> (“before” + “after” wave event surveys) for all pilot beaches: delivery of datasets for both epochs and </w:t>
            </w:r>
            <w:r w:rsidRPr="00BF5D67">
              <w:rPr>
                <w:rStyle w:val="Strong"/>
                <w:sz w:val="22"/>
                <w:szCs w:val="22"/>
              </w:rPr>
              <w:t>Cycle 1 Report</w:t>
            </w:r>
            <w:r w:rsidRPr="00BF5D67">
              <w:rPr>
                <w:sz w:val="22"/>
                <w:szCs w:val="22"/>
              </w:rPr>
              <w:t xml:space="preserve"> including volumetric change analysis and QA/QC. </w:t>
            </w:r>
          </w:p>
          <w:p w14:paraId="5DE7DFCC" w14:textId="77AFEF30" w:rsidR="00D437F9" w:rsidRPr="00BF5D67" w:rsidRDefault="006A5848" w:rsidP="00BF5D67">
            <w:pPr>
              <w:keepNext/>
              <w:spacing w:before="40" w:after="40"/>
              <w:jc w:val="left"/>
              <w:rPr>
                <w:b/>
                <w:bCs/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Corresponding invoice.</w:t>
            </w:r>
          </w:p>
        </w:tc>
        <w:tc>
          <w:tcPr>
            <w:tcW w:w="1701" w:type="dxa"/>
            <w:tcBorders>
              <w:bottom w:val="nil"/>
            </w:tcBorders>
          </w:tcPr>
          <w:p w14:paraId="0AF13DE8" w14:textId="3FFC6A51" w:rsidR="00D437F9" w:rsidRDefault="00BF5D67" w:rsidP="00D437F9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37F9">
              <w:rPr>
                <w:sz w:val="22"/>
                <w:szCs w:val="22"/>
              </w:rPr>
              <w:t>5</w:t>
            </w:r>
            <w:r w:rsidR="00D437F9" w:rsidRPr="00D437F9">
              <w:rPr>
                <w:sz w:val="22"/>
                <w:szCs w:val="22"/>
              </w:rPr>
              <w:t xml:space="preserve">% </w:t>
            </w:r>
          </w:p>
          <w:p w14:paraId="23816D9A" w14:textId="63E0B091" w:rsidR="00D437F9" w:rsidRPr="0036136C" w:rsidRDefault="00D437F9" w:rsidP="00D437F9">
            <w:pPr>
              <w:spacing w:after="0"/>
              <w:jc w:val="center"/>
              <w:rPr>
                <w:sz w:val="22"/>
                <w:szCs w:val="22"/>
              </w:rPr>
            </w:pPr>
            <w:r w:rsidRPr="00D437F9">
              <w:rPr>
                <w:sz w:val="22"/>
                <w:szCs w:val="22"/>
              </w:rPr>
              <w:t>of the contract value</w:t>
            </w:r>
          </w:p>
        </w:tc>
      </w:tr>
      <w:tr w:rsidR="00BF5D67" w:rsidRPr="0036136C" w14:paraId="6E65CB31" w14:textId="77777777" w:rsidTr="00FC1492">
        <w:trPr>
          <w:cantSplit/>
          <w:trHeight w:val="814"/>
        </w:trPr>
        <w:tc>
          <w:tcPr>
            <w:tcW w:w="1134" w:type="dxa"/>
            <w:tcBorders>
              <w:bottom w:val="nil"/>
            </w:tcBorders>
          </w:tcPr>
          <w:p w14:paraId="5A1E27C2" w14:textId="77777777" w:rsidR="00BF5D67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&lt;</w:t>
            </w:r>
            <w:r w:rsidRPr="00586E35">
              <w:rPr>
                <w:b/>
                <w:sz w:val="22"/>
                <w:szCs w:val="22"/>
                <w:highlight w:val="yellow"/>
              </w:rPr>
              <w:t>Month/ year number</w:t>
            </w:r>
            <w:r w:rsidRPr="0036136C">
              <w:rPr>
                <w:b/>
                <w:sz w:val="22"/>
                <w:szCs w:val="22"/>
              </w:rPr>
              <w:t>&gt;</w:t>
            </w:r>
          </w:p>
          <w:p w14:paraId="0AB79EA3" w14:textId="51E8112C" w:rsidR="00BF5D67" w:rsidRPr="0036136C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5387" w:type="dxa"/>
            <w:tcBorders>
              <w:bottom w:val="nil"/>
            </w:tcBorders>
          </w:tcPr>
          <w:p w14:paraId="337807DD" w14:textId="77777777" w:rsidR="00BF5D67" w:rsidRDefault="00BF5D67" w:rsidP="00BF5D67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Monitoring Cycle 2 package</w:t>
            </w:r>
            <w:r w:rsidRPr="00BF5D67">
              <w:rPr>
                <w:sz w:val="22"/>
                <w:szCs w:val="22"/>
              </w:rPr>
              <w:t xml:space="preserve"> (“before” + “after” surveys) + datasets and </w:t>
            </w:r>
            <w:r w:rsidRPr="00BF5D67">
              <w:rPr>
                <w:rStyle w:val="Strong"/>
                <w:sz w:val="22"/>
                <w:szCs w:val="22"/>
              </w:rPr>
              <w:t>Cycle 2 Report</w:t>
            </w:r>
            <w:r w:rsidRPr="00BF5D67">
              <w:rPr>
                <w:sz w:val="22"/>
                <w:szCs w:val="22"/>
              </w:rPr>
              <w:t xml:space="preserve"> including volumetric change analysis and QA/QC. </w:t>
            </w:r>
          </w:p>
          <w:p w14:paraId="414D9AB2" w14:textId="1ED273D7" w:rsidR="00BF5D67" w:rsidRPr="00BF5D67" w:rsidRDefault="00BF5D67" w:rsidP="00BF5D67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Corresponding invoice.</w:t>
            </w:r>
          </w:p>
        </w:tc>
        <w:tc>
          <w:tcPr>
            <w:tcW w:w="1701" w:type="dxa"/>
            <w:tcBorders>
              <w:bottom w:val="nil"/>
            </w:tcBorders>
          </w:tcPr>
          <w:p w14:paraId="6F40A2FE" w14:textId="77777777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437F9">
              <w:rPr>
                <w:sz w:val="22"/>
                <w:szCs w:val="22"/>
              </w:rPr>
              <w:t xml:space="preserve">% </w:t>
            </w:r>
          </w:p>
          <w:p w14:paraId="4EA36BA7" w14:textId="1DB9E3CF" w:rsidR="00BF5D67" w:rsidRPr="0036136C" w:rsidRDefault="00BF5D67" w:rsidP="00BF5D67">
            <w:pPr>
              <w:spacing w:after="0"/>
              <w:jc w:val="center"/>
              <w:rPr>
                <w:sz w:val="22"/>
                <w:szCs w:val="22"/>
              </w:rPr>
            </w:pPr>
            <w:r w:rsidRPr="00D437F9">
              <w:rPr>
                <w:sz w:val="22"/>
                <w:szCs w:val="22"/>
              </w:rPr>
              <w:t>of the contract value</w:t>
            </w:r>
          </w:p>
        </w:tc>
      </w:tr>
      <w:tr w:rsidR="00BF5D67" w:rsidRPr="0036136C" w14:paraId="7524ADF7" w14:textId="77777777" w:rsidTr="00FC1492">
        <w:trPr>
          <w:cantSplit/>
          <w:trHeight w:val="814"/>
        </w:trPr>
        <w:tc>
          <w:tcPr>
            <w:tcW w:w="1134" w:type="dxa"/>
            <w:tcBorders>
              <w:bottom w:val="nil"/>
            </w:tcBorders>
          </w:tcPr>
          <w:p w14:paraId="373E478E" w14:textId="77777777" w:rsidR="00BF5D67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&lt;</w:t>
            </w:r>
            <w:r w:rsidRPr="00586E35">
              <w:rPr>
                <w:b/>
                <w:sz w:val="22"/>
                <w:szCs w:val="22"/>
                <w:highlight w:val="yellow"/>
              </w:rPr>
              <w:t>Month/ year number</w:t>
            </w:r>
            <w:r w:rsidRPr="0036136C">
              <w:rPr>
                <w:b/>
                <w:sz w:val="22"/>
                <w:szCs w:val="22"/>
              </w:rPr>
              <w:t>&gt;</w:t>
            </w:r>
          </w:p>
          <w:p w14:paraId="6FDA4926" w14:textId="7ADE927D" w:rsidR="00BF5D67" w:rsidRPr="0036136C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5387" w:type="dxa"/>
            <w:tcBorders>
              <w:bottom w:val="nil"/>
            </w:tcBorders>
          </w:tcPr>
          <w:p w14:paraId="0AB2CEAF" w14:textId="77777777" w:rsidR="00BF5D67" w:rsidRDefault="00BF5D67" w:rsidP="00BF5D67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Monitoring Cycle 3 package</w:t>
            </w:r>
            <w:r w:rsidRPr="00BF5D67">
              <w:rPr>
                <w:sz w:val="22"/>
                <w:szCs w:val="22"/>
              </w:rPr>
              <w:t xml:space="preserve"> (“before” + “after” surveys) + datasets and </w:t>
            </w:r>
            <w:r w:rsidRPr="00BF5D67">
              <w:rPr>
                <w:rStyle w:val="Strong"/>
                <w:sz w:val="22"/>
                <w:szCs w:val="22"/>
              </w:rPr>
              <w:t>Cycle 3 Report</w:t>
            </w:r>
            <w:r w:rsidRPr="00BF5D67">
              <w:rPr>
                <w:sz w:val="22"/>
                <w:szCs w:val="22"/>
              </w:rPr>
              <w:t xml:space="preserve"> including volumetric change analysis and QA/QC. </w:t>
            </w:r>
          </w:p>
          <w:p w14:paraId="24351B10" w14:textId="08AFBF4F" w:rsidR="00BF5D67" w:rsidRPr="00BF5D67" w:rsidRDefault="00BF5D67" w:rsidP="00BF5D67">
            <w:pPr>
              <w:spacing w:before="40" w:after="40"/>
              <w:jc w:val="left"/>
              <w:rPr>
                <w:b/>
                <w:bCs/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Corresponding invoice.</w:t>
            </w:r>
          </w:p>
        </w:tc>
        <w:tc>
          <w:tcPr>
            <w:tcW w:w="1701" w:type="dxa"/>
            <w:tcBorders>
              <w:bottom w:val="nil"/>
            </w:tcBorders>
          </w:tcPr>
          <w:p w14:paraId="01DBBFAC" w14:textId="77777777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437F9">
              <w:rPr>
                <w:sz w:val="22"/>
                <w:szCs w:val="22"/>
              </w:rPr>
              <w:t xml:space="preserve">% </w:t>
            </w:r>
          </w:p>
          <w:p w14:paraId="245BE9CA" w14:textId="6654D085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D437F9">
              <w:rPr>
                <w:sz w:val="22"/>
                <w:szCs w:val="22"/>
              </w:rPr>
              <w:t>of the contract value</w:t>
            </w:r>
          </w:p>
        </w:tc>
      </w:tr>
      <w:tr w:rsidR="00BF5D67" w:rsidRPr="0036136C" w14:paraId="2D7EEBB8" w14:textId="77777777" w:rsidTr="00FC1492">
        <w:trPr>
          <w:cantSplit/>
          <w:trHeight w:val="814"/>
        </w:trPr>
        <w:tc>
          <w:tcPr>
            <w:tcW w:w="1134" w:type="dxa"/>
            <w:tcBorders>
              <w:bottom w:val="nil"/>
            </w:tcBorders>
          </w:tcPr>
          <w:p w14:paraId="47A6B25B" w14:textId="77777777" w:rsidR="00BF5D67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&lt;</w:t>
            </w:r>
            <w:r w:rsidRPr="00586E35">
              <w:rPr>
                <w:b/>
                <w:sz w:val="22"/>
                <w:szCs w:val="22"/>
                <w:highlight w:val="yellow"/>
              </w:rPr>
              <w:t>Month/ year number</w:t>
            </w:r>
            <w:r w:rsidRPr="0036136C">
              <w:rPr>
                <w:b/>
                <w:sz w:val="22"/>
                <w:szCs w:val="22"/>
              </w:rPr>
              <w:t>&gt;</w:t>
            </w:r>
          </w:p>
          <w:p w14:paraId="4797FD88" w14:textId="50290F56" w:rsidR="00BF5D67" w:rsidRPr="0036136C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5387" w:type="dxa"/>
            <w:tcBorders>
              <w:bottom w:val="nil"/>
            </w:tcBorders>
          </w:tcPr>
          <w:p w14:paraId="594AE1DC" w14:textId="77777777" w:rsidR="00BF5D67" w:rsidRDefault="00BF5D67" w:rsidP="00BF5D67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Monitoring Cycle 4 package</w:t>
            </w:r>
            <w:r w:rsidRPr="00BF5D67">
              <w:rPr>
                <w:sz w:val="22"/>
                <w:szCs w:val="22"/>
              </w:rPr>
              <w:t xml:space="preserve"> (“before” + “after” surveys) + datasets and </w:t>
            </w:r>
            <w:r w:rsidRPr="00BF5D67">
              <w:rPr>
                <w:rStyle w:val="Strong"/>
                <w:sz w:val="22"/>
                <w:szCs w:val="22"/>
              </w:rPr>
              <w:t>Cycle 4 Report</w:t>
            </w:r>
            <w:r w:rsidRPr="00BF5D67">
              <w:rPr>
                <w:sz w:val="22"/>
                <w:szCs w:val="22"/>
              </w:rPr>
              <w:t xml:space="preserve"> including volumetric change analysis and QA/QC. </w:t>
            </w:r>
          </w:p>
          <w:p w14:paraId="2CE62AD7" w14:textId="28C79C8D" w:rsidR="00BF5D67" w:rsidRPr="00BF5D67" w:rsidRDefault="00BF5D67" w:rsidP="00BF5D67">
            <w:pPr>
              <w:spacing w:before="40" w:after="40"/>
              <w:jc w:val="left"/>
              <w:rPr>
                <w:b/>
                <w:bCs/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Corresponding invoice.</w:t>
            </w:r>
          </w:p>
        </w:tc>
        <w:tc>
          <w:tcPr>
            <w:tcW w:w="1701" w:type="dxa"/>
            <w:tcBorders>
              <w:bottom w:val="nil"/>
            </w:tcBorders>
          </w:tcPr>
          <w:p w14:paraId="139CD867" w14:textId="77777777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437F9">
              <w:rPr>
                <w:sz w:val="22"/>
                <w:szCs w:val="22"/>
              </w:rPr>
              <w:t xml:space="preserve">% </w:t>
            </w:r>
          </w:p>
          <w:p w14:paraId="15064B2E" w14:textId="032692CE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D437F9">
              <w:rPr>
                <w:sz w:val="22"/>
                <w:szCs w:val="22"/>
              </w:rPr>
              <w:t xml:space="preserve">of the contract </w:t>
            </w:r>
            <w:bookmarkStart w:id="3" w:name="_GoBack"/>
            <w:bookmarkEnd w:id="3"/>
            <w:r w:rsidRPr="00D437F9">
              <w:rPr>
                <w:sz w:val="22"/>
                <w:szCs w:val="22"/>
              </w:rPr>
              <w:t>value</w:t>
            </w:r>
          </w:p>
        </w:tc>
      </w:tr>
      <w:tr w:rsidR="00BF5D67" w:rsidRPr="0036136C" w14:paraId="3BB4646D" w14:textId="77777777" w:rsidTr="00FC1492">
        <w:trPr>
          <w:cantSplit/>
          <w:trHeight w:val="814"/>
        </w:trPr>
        <w:tc>
          <w:tcPr>
            <w:tcW w:w="1134" w:type="dxa"/>
            <w:tcBorders>
              <w:bottom w:val="nil"/>
            </w:tcBorders>
          </w:tcPr>
          <w:p w14:paraId="523E3972" w14:textId="77777777" w:rsidR="00BF5D67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36136C">
              <w:rPr>
                <w:b/>
                <w:sz w:val="22"/>
                <w:szCs w:val="22"/>
              </w:rPr>
              <w:t>&lt;</w:t>
            </w:r>
            <w:r w:rsidRPr="00586E35">
              <w:rPr>
                <w:b/>
                <w:sz w:val="22"/>
                <w:szCs w:val="22"/>
                <w:highlight w:val="yellow"/>
              </w:rPr>
              <w:t>Month/ year number</w:t>
            </w:r>
            <w:r w:rsidRPr="0036136C">
              <w:rPr>
                <w:b/>
                <w:sz w:val="22"/>
                <w:szCs w:val="22"/>
              </w:rPr>
              <w:t>&gt;</w:t>
            </w:r>
          </w:p>
          <w:p w14:paraId="639FAFDC" w14:textId="4086BD5B" w:rsidR="00BF5D67" w:rsidRPr="0036136C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5387" w:type="dxa"/>
            <w:tcBorders>
              <w:bottom w:val="nil"/>
            </w:tcBorders>
          </w:tcPr>
          <w:p w14:paraId="0CCD88B8" w14:textId="77777777" w:rsidR="00BF5D67" w:rsidRDefault="00BF5D67" w:rsidP="00BF5D67">
            <w:pPr>
              <w:spacing w:before="40" w:after="40"/>
              <w:jc w:val="left"/>
              <w:rPr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Monitoring Cycle 5 package</w:t>
            </w:r>
            <w:r w:rsidRPr="00BF5D67">
              <w:rPr>
                <w:sz w:val="22"/>
                <w:szCs w:val="22"/>
              </w:rPr>
              <w:t xml:space="preserve"> (“before” + “after” surveys) + datasets and </w:t>
            </w:r>
            <w:r w:rsidRPr="00BF5D67">
              <w:rPr>
                <w:rStyle w:val="Strong"/>
                <w:sz w:val="22"/>
                <w:szCs w:val="22"/>
              </w:rPr>
              <w:t>Cycle 5 Report</w:t>
            </w:r>
            <w:r w:rsidRPr="00BF5D67">
              <w:rPr>
                <w:sz w:val="22"/>
                <w:szCs w:val="22"/>
              </w:rPr>
              <w:t xml:space="preserve">, </w:t>
            </w:r>
            <w:r w:rsidRPr="00BF5D67">
              <w:rPr>
                <w:rStyle w:val="Strong"/>
                <w:sz w:val="22"/>
                <w:szCs w:val="22"/>
              </w:rPr>
              <w:t>plus Final Consolidated Report</w:t>
            </w:r>
            <w:r w:rsidRPr="00BF5D67">
              <w:rPr>
                <w:sz w:val="22"/>
                <w:szCs w:val="22"/>
              </w:rPr>
              <w:t xml:space="preserve"> covering the full monitoring period (summary of methods, QA/QC statistics, cross-epoch comparability, consolidated volumetric trends, full data inventory and metadata), and final handover of the complete dataset repository. </w:t>
            </w:r>
          </w:p>
          <w:p w14:paraId="002A72DA" w14:textId="4402B6DD" w:rsidR="00BF5D67" w:rsidRPr="00BF5D67" w:rsidRDefault="00BF5D67" w:rsidP="00BF5D67">
            <w:pPr>
              <w:spacing w:before="40" w:after="40"/>
              <w:jc w:val="left"/>
              <w:rPr>
                <w:b/>
                <w:bCs/>
                <w:sz w:val="22"/>
                <w:szCs w:val="22"/>
              </w:rPr>
            </w:pPr>
            <w:r w:rsidRPr="00BF5D67">
              <w:rPr>
                <w:rStyle w:val="Strong"/>
                <w:sz w:val="22"/>
                <w:szCs w:val="22"/>
              </w:rPr>
              <w:t>Corresponding invoice.</w:t>
            </w:r>
          </w:p>
        </w:tc>
        <w:tc>
          <w:tcPr>
            <w:tcW w:w="1701" w:type="dxa"/>
            <w:tcBorders>
              <w:bottom w:val="nil"/>
            </w:tcBorders>
          </w:tcPr>
          <w:p w14:paraId="6DAF1AB7" w14:textId="77777777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D437F9">
              <w:rPr>
                <w:sz w:val="22"/>
                <w:szCs w:val="22"/>
              </w:rPr>
              <w:t xml:space="preserve">0% </w:t>
            </w:r>
          </w:p>
          <w:p w14:paraId="7784C632" w14:textId="71A0C43B" w:rsidR="00BF5D67" w:rsidRDefault="00BF5D67" w:rsidP="00BF5D67">
            <w:pPr>
              <w:keepNext/>
              <w:spacing w:before="40" w:after="40"/>
              <w:jc w:val="center"/>
              <w:rPr>
                <w:sz w:val="22"/>
                <w:szCs w:val="22"/>
              </w:rPr>
            </w:pPr>
            <w:r w:rsidRPr="00D437F9">
              <w:rPr>
                <w:sz w:val="22"/>
                <w:szCs w:val="22"/>
              </w:rPr>
              <w:t>of the contract value</w:t>
            </w:r>
          </w:p>
        </w:tc>
      </w:tr>
      <w:tr w:rsidR="00BF5D67" w:rsidRPr="0036136C" w14:paraId="7943072C" w14:textId="77777777" w:rsidTr="00FC1492">
        <w:trPr>
          <w:cantSplit/>
          <w:trHeight w:val="373"/>
        </w:trPr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52311BB9" w14:textId="77777777" w:rsidR="00BF5D67" w:rsidRPr="0036136C" w:rsidRDefault="00BF5D67" w:rsidP="00BF5D6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41016B0A" w14:textId="77777777" w:rsidR="00BF5D67" w:rsidRPr="00BF5D67" w:rsidRDefault="00BF5D67" w:rsidP="00BF5D67">
            <w:pPr>
              <w:spacing w:before="40" w:after="40"/>
              <w:rPr>
                <w:b/>
                <w:sz w:val="22"/>
                <w:szCs w:val="22"/>
              </w:rPr>
            </w:pPr>
            <w:r w:rsidRPr="00BF5D67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pct10" w:color="auto" w:fill="FFFFFF"/>
          </w:tcPr>
          <w:p w14:paraId="6E742882" w14:textId="77777777" w:rsidR="00BF5D67" w:rsidRPr="0036136C" w:rsidRDefault="00BF5D67" w:rsidP="00BF5D67">
            <w:pPr>
              <w:spacing w:after="0"/>
              <w:jc w:val="center"/>
              <w:rPr>
                <w:sz w:val="22"/>
                <w:szCs w:val="22"/>
              </w:rPr>
            </w:pPr>
            <w:r w:rsidRPr="0036136C">
              <w:rPr>
                <w:sz w:val="22"/>
                <w:szCs w:val="22"/>
              </w:rPr>
              <w:t>&lt;</w:t>
            </w:r>
            <w:r w:rsidRPr="00586E35">
              <w:rPr>
                <w:sz w:val="22"/>
                <w:szCs w:val="22"/>
                <w:highlight w:val="yellow"/>
              </w:rPr>
              <w:t>Total contract value</w:t>
            </w:r>
            <w:r w:rsidRPr="0036136C">
              <w:rPr>
                <w:sz w:val="22"/>
                <w:szCs w:val="22"/>
              </w:rPr>
              <w:t>&gt;</w:t>
            </w:r>
          </w:p>
        </w:tc>
      </w:tr>
    </w:tbl>
    <w:p w14:paraId="2E4FFFDF" w14:textId="77777777" w:rsidR="00D437F9" w:rsidRDefault="00D437F9" w:rsidP="00D437F9">
      <w:pPr>
        <w:autoSpaceDE w:val="0"/>
        <w:autoSpaceDN w:val="0"/>
        <w:adjustRightInd w:val="0"/>
        <w:spacing w:after="0"/>
        <w:ind w:left="567"/>
        <w:rPr>
          <w:sz w:val="22"/>
          <w:szCs w:val="22"/>
        </w:rPr>
      </w:pPr>
    </w:p>
    <w:p w14:paraId="1B771E3E" w14:textId="73FBAAD3" w:rsidR="00F85EAD" w:rsidRPr="00D437F9" w:rsidRDefault="00F85EAD" w:rsidP="00215F58">
      <w:pPr>
        <w:autoSpaceDE w:val="0"/>
        <w:autoSpaceDN w:val="0"/>
        <w:adjustRightInd w:val="0"/>
        <w:spacing w:after="200"/>
        <w:ind w:left="567"/>
        <w:rPr>
          <w:sz w:val="22"/>
          <w:szCs w:val="22"/>
        </w:rPr>
      </w:pPr>
      <w:r w:rsidRPr="00D437F9">
        <w:rPr>
          <w:sz w:val="22"/>
          <w:szCs w:val="22"/>
        </w:rPr>
        <w:t xml:space="preserve">By derogation, the payments to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>ontractor of the amounts due under interim and final payments shall be made within</w:t>
      </w:r>
      <w:r w:rsidR="00212B1D" w:rsidRPr="00D437F9">
        <w:rPr>
          <w:sz w:val="22"/>
          <w:szCs w:val="22"/>
        </w:rPr>
        <w:t> </w:t>
      </w:r>
      <w:r w:rsidR="00D437F9" w:rsidRPr="00D437F9">
        <w:rPr>
          <w:sz w:val="22"/>
          <w:szCs w:val="22"/>
        </w:rPr>
        <w:t>15</w:t>
      </w:r>
      <w:r w:rsidRPr="00D437F9">
        <w:rPr>
          <w:sz w:val="22"/>
          <w:szCs w:val="22"/>
        </w:rPr>
        <w:t xml:space="preserve"> days after receipt by the </w:t>
      </w:r>
      <w:r w:rsidR="00C559EF" w:rsidRPr="00D437F9">
        <w:rPr>
          <w:sz w:val="22"/>
          <w:szCs w:val="22"/>
        </w:rPr>
        <w:t>c</w:t>
      </w:r>
      <w:r w:rsidRPr="00D437F9">
        <w:rPr>
          <w:sz w:val="22"/>
          <w:szCs w:val="22"/>
        </w:rPr>
        <w:t xml:space="preserve">ontracting </w:t>
      </w:r>
      <w:r w:rsidR="00C559EF" w:rsidRPr="00D437F9">
        <w:rPr>
          <w:sz w:val="22"/>
          <w:szCs w:val="22"/>
        </w:rPr>
        <w:t>a</w:t>
      </w:r>
      <w:r w:rsidRPr="00D437F9">
        <w:rPr>
          <w:sz w:val="22"/>
          <w:szCs w:val="22"/>
        </w:rPr>
        <w:t>uthority of an invoice and of the reports</w:t>
      </w:r>
      <w:r w:rsidR="00B252A4" w:rsidRPr="00D437F9">
        <w:rPr>
          <w:sz w:val="22"/>
          <w:szCs w:val="22"/>
        </w:rPr>
        <w:t>, subject to approval of those reports</w:t>
      </w:r>
      <w:r w:rsidRPr="00D437F9">
        <w:rPr>
          <w:sz w:val="22"/>
          <w:szCs w:val="22"/>
        </w:rPr>
        <w:t xml:space="preserve"> </w:t>
      </w:r>
      <w:r w:rsidR="00B252A4" w:rsidRPr="00D437F9">
        <w:rPr>
          <w:sz w:val="22"/>
          <w:szCs w:val="22"/>
        </w:rPr>
        <w:t xml:space="preserve">in accordance with Article 27 of the </w:t>
      </w:r>
      <w:r w:rsidR="004E2AD3" w:rsidRPr="00D437F9">
        <w:rPr>
          <w:sz w:val="22"/>
          <w:szCs w:val="22"/>
        </w:rPr>
        <w:t>g</w:t>
      </w:r>
      <w:r w:rsidR="00B252A4" w:rsidRPr="00D437F9">
        <w:rPr>
          <w:sz w:val="22"/>
          <w:szCs w:val="22"/>
        </w:rPr>
        <w:t xml:space="preserve">eneral </w:t>
      </w:r>
      <w:r w:rsidR="004E2AD3" w:rsidRPr="00D437F9">
        <w:rPr>
          <w:sz w:val="22"/>
          <w:szCs w:val="22"/>
        </w:rPr>
        <w:t>c</w:t>
      </w:r>
      <w:r w:rsidR="00B252A4" w:rsidRPr="00D437F9">
        <w:rPr>
          <w:sz w:val="22"/>
          <w:szCs w:val="22"/>
        </w:rPr>
        <w:t>onditions</w:t>
      </w:r>
      <w:r w:rsidRPr="00D437F9">
        <w:rPr>
          <w:sz w:val="22"/>
          <w:szCs w:val="22"/>
        </w:rPr>
        <w:t>.</w:t>
      </w:r>
    </w:p>
    <w:p w14:paraId="59F90915" w14:textId="7877310F" w:rsidR="00E72E6D" w:rsidRPr="00215F58" w:rsidRDefault="00E72E6D" w:rsidP="00D437F9">
      <w:pPr>
        <w:autoSpaceDE w:val="0"/>
        <w:autoSpaceDN w:val="0"/>
        <w:adjustRightInd w:val="0"/>
        <w:spacing w:after="200"/>
        <w:ind w:left="567"/>
      </w:pPr>
      <w:r w:rsidRPr="00D437F9">
        <w:rPr>
          <w:sz w:val="22"/>
          <w:szCs w:val="22"/>
        </w:rPr>
        <w:t>By derogation from article 29 the verification will be made by the contracting authority and all references to an expenditure verification report will not be applicable.</w:t>
      </w:r>
    </w:p>
    <w:p w14:paraId="479522BC" w14:textId="1C502FF2" w:rsidR="00640C03" w:rsidRPr="0036136C" w:rsidRDefault="00A1628E" w:rsidP="003478ED">
      <w:pPr>
        <w:ind w:left="567" w:hanging="567"/>
        <w:rPr>
          <w:sz w:val="22"/>
          <w:szCs w:val="22"/>
        </w:rPr>
      </w:pPr>
      <w:r w:rsidRPr="0036136C">
        <w:rPr>
          <w:sz w:val="22"/>
          <w:szCs w:val="22"/>
        </w:rPr>
        <w:t>29.3</w:t>
      </w:r>
      <w:r w:rsidRPr="0036136C">
        <w:rPr>
          <w:sz w:val="22"/>
          <w:szCs w:val="22"/>
        </w:rPr>
        <w:tab/>
      </w:r>
      <w:r w:rsidR="00057077" w:rsidRPr="003478ED">
        <w:rPr>
          <w:sz w:val="22"/>
          <w:szCs w:val="22"/>
        </w:rPr>
        <w:t xml:space="preserve">By derogation from Article 29.3 of the </w:t>
      </w:r>
      <w:r w:rsidR="004E2AD3" w:rsidRPr="003478ED">
        <w:rPr>
          <w:sz w:val="22"/>
          <w:szCs w:val="22"/>
        </w:rPr>
        <w:t>g</w:t>
      </w:r>
      <w:r w:rsidR="00057077" w:rsidRPr="003478ED">
        <w:rPr>
          <w:sz w:val="22"/>
          <w:szCs w:val="22"/>
        </w:rPr>
        <w:t xml:space="preserve">eneral </w:t>
      </w:r>
      <w:r w:rsidR="004E2AD3" w:rsidRPr="003478ED">
        <w:rPr>
          <w:sz w:val="22"/>
          <w:szCs w:val="22"/>
        </w:rPr>
        <w:t>c</w:t>
      </w:r>
      <w:r w:rsidR="00057077" w:rsidRPr="003478ED">
        <w:rPr>
          <w:sz w:val="22"/>
          <w:szCs w:val="22"/>
        </w:rPr>
        <w:t xml:space="preserve">onditions, once the deadline </w:t>
      </w:r>
      <w:r w:rsidR="002250E9" w:rsidRPr="003478ED">
        <w:rPr>
          <w:sz w:val="22"/>
          <w:szCs w:val="22"/>
        </w:rPr>
        <w:t>set</w:t>
      </w:r>
      <w:r w:rsidR="009C55DD" w:rsidRPr="003478ED">
        <w:rPr>
          <w:sz w:val="22"/>
          <w:szCs w:val="22"/>
        </w:rPr>
        <w:t xml:space="preserve"> in Article 29.1 </w:t>
      </w:r>
      <w:r w:rsidR="00057077" w:rsidRPr="003478ED">
        <w:rPr>
          <w:sz w:val="22"/>
          <w:szCs w:val="22"/>
        </w:rPr>
        <w:t xml:space="preserve">has expired, the </w:t>
      </w:r>
      <w:r w:rsidR="00C559EF" w:rsidRPr="003478ED">
        <w:rPr>
          <w:sz w:val="22"/>
          <w:szCs w:val="22"/>
        </w:rPr>
        <w:t>c</w:t>
      </w:r>
      <w:r w:rsidR="00805B43" w:rsidRPr="003478ED">
        <w:rPr>
          <w:sz w:val="22"/>
          <w:szCs w:val="22"/>
        </w:rPr>
        <w:t>ontractor</w:t>
      </w:r>
      <w:r w:rsidR="00A02D95" w:rsidRPr="003478ED">
        <w:rPr>
          <w:sz w:val="22"/>
          <w:szCs w:val="22"/>
        </w:rPr>
        <w:t xml:space="preserve"> </w:t>
      </w:r>
      <w:r w:rsidR="00995D7A" w:rsidRPr="003478ED">
        <w:rPr>
          <w:sz w:val="22"/>
          <w:szCs w:val="22"/>
        </w:rPr>
        <w:t>shall</w:t>
      </w:r>
      <w:r w:rsidR="002250E9" w:rsidRPr="003478ED">
        <w:rPr>
          <w:sz w:val="22"/>
          <w:szCs w:val="22"/>
        </w:rPr>
        <w:t>,</w:t>
      </w:r>
      <w:r w:rsidR="00057077" w:rsidRPr="003478ED">
        <w:rPr>
          <w:sz w:val="22"/>
          <w:szCs w:val="22"/>
        </w:rPr>
        <w:t xml:space="preserve"> </w:t>
      </w:r>
      <w:r w:rsidR="00850711" w:rsidRPr="003478ED">
        <w:rPr>
          <w:sz w:val="22"/>
          <w:szCs w:val="22"/>
        </w:rPr>
        <w:t>upon demand</w:t>
      </w:r>
      <w:r w:rsidR="00A02D95" w:rsidRPr="003478ED">
        <w:rPr>
          <w:sz w:val="22"/>
          <w:szCs w:val="22"/>
        </w:rPr>
        <w:t>,</w:t>
      </w:r>
      <w:r w:rsidR="00A02D95" w:rsidRPr="003478ED">
        <w:t xml:space="preserve"> </w:t>
      </w:r>
      <w:r w:rsidR="00A02D95" w:rsidRPr="003478ED">
        <w:rPr>
          <w:sz w:val="22"/>
          <w:szCs w:val="22"/>
        </w:rPr>
        <w:t xml:space="preserve">be entitled to late-payment interest at the rate and for the period mentioned in the </w:t>
      </w:r>
      <w:r w:rsidR="004E2AD3" w:rsidRPr="003478ED">
        <w:rPr>
          <w:sz w:val="22"/>
          <w:szCs w:val="22"/>
        </w:rPr>
        <w:t>g</w:t>
      </w:r>
      <w:r w:rsidR="00A02D95" w:rsidRPr="003478ED">
        <w:rPr>
          <w:sz w:val="22"/>
          <w:szCs w:val="22"/>
        </w:rPr>
        <w:t xml:space="preserve">eneral </w:t>
      </w:r>
      <w:r w:rsidR="004E2AD3" w:rsidRPr="003478ED">
        <w:rPr>
          <w:sz w:val="22"/>
          <w:szCs w:val="22"/>
        </w:rPr>
        <w:t>c</w:t>
      </w:r>
      <w:r w:rsidR="00A02D95" w:rsidRPr="003478ED">
        <w:rPr>
          <w:sz w:val="22"/>
          <w:szCs w:val="22"/>
        </w:rPr>
        <w:t>onditions</w:t>
      </w:r>
      <w:r w:rsidR="004D4E2C" w:rsidRPr="003478ED">
        <w:rPr>
          <w:sz w:val="22"/>
          <w:szCs w:val="22"/>
        </w:rPr>
        <w:t>.</w:t>
      </w:r>
      <w:r w:rsidR="00BE5213" w:rsidRPr="003478ED">
        <w:rPr>
          <w:sz w:val="22"/>
          <w:szCs w:val="22"/>
        </w:rPr>
        <w:t xml:space="preserve"> </w:t>
      </w:r>
      <w:r w:rsidR="00A02D95" w:rsidRPr="003478ED">
        <w:rPr>
          <w:sz w:val="22"/>
          <w:szCs w:val="22"/>
        </w:rPr>
        <w:t>The demand must be submitted within two months of receiving late payment.</w:t>
      </w:r>
    </w:p>
    <w:p w14:paraId="3F625FFD" w14:textId="7066EE44" w:rsidR="00A1628E" w:rsidRPr="0036136C" w:rsidRDefault="00A1628E" w:rsidP="004443F8">
      <w:pPr>
        <w:spacing w:after="120"/>
        <w:ind w:left="567" w:hanging="567"/>
        <w:rPr>
          <w:sz w:val="22"/>
          <w:szCs w:val="22"/>
        </w:rPr>
      </w:pPr>
      <w:r w:rsidRPr="0036136C">
        <w:rPr>
          <w:sz w:val="22"/>
          <w:szCs w:val="22"/>
        </w:rPr>
        <w:lastRenderedPageBreak/>
        <w:t>29.5</w:t>
      </w:r>
      <w:r w:rsidRPr="0036136C">
        <w:rPr>
          <w:sz w:val="22"/>
          <w:szCs w:val="22"/>
        </w:rPr>
        <w:tab/>
        <w:t xml:space="preserve">Payments </w:t>
      </w:r>
      <w:r w:rsidR="00995D7A">
        <w:rPr>
          <w:sz w:val="22"/>
          <w:szCs w:val="22"/>
        </w:rPr>
        <w:t>shall</w:t>
      </w:r>
      <w:r w:rsidRPr="0036136C">
        <w:rPr>
          <w:sz w:val="22"/>
          <w:szCs w:val="22"/>
        </w:rPr>
        <w:t xml:space="preserve"> be made in </w:t>
      </w:r>
      <w:r w:rsidR="003478ED">
        <w:rPr>
          <w:sz w:val="22"/>
          <w:szCs w:val="22"/>
        </w:rPr>
        <w:t>euro</w:t>
      </w:r>
      <w:r w:rsidRPr="0036136C">
        <w:rPr>
          <w:sz w:val="22"/>
          <w:szCs w:val="22"/>
        </w:rPr>
        <w:t xml:space="preserve"> in accordance with Article 29.4 of the </w:t>
      </w:r>
      <w:r w:rsidR="004E2AD3">
        <w:rPr>
          <w:sz w:val="22"/>
          <w:szCs w:val="22"/>
        </w:rPr>
        <w:t>g</w:t>
      </w:r>
      <w:r w:rsidRPr="0036136C">
        <w:rPr>
          <w:sz w:val="22"/>
          <w:szCs w:val="22"/>
        </w:rPr>
        <w:t xml:space="preserve">eneral </w:t>
      </w:r>
      <w:r w:rsidR="004E2AD3">
        <w:rPr>
          <w:sz w:val="22"/>
          <w:szCs w:val="22"/>
        </w:rPr>
        <w:t>c</w:t>
      </w:r>
      <w:r w:rsidRPr="0036136C">
        <w:rPr>
          <w:sz w:val="22"/>
          <w:szCs w:val="22"/>
        </w:rPr>
        <w:t>onditions</w:t>
      </w:r>
      <w:r w:rsidR="00550829">
        <w:rPr>
          <w:sz w:val="22"/>
          <w:szCs w:val="22"/>
        </w:rPr>
        <w:t>.</w:t>
      </w:r>
      <w:r w:rsidRPr="0036136C">
        <w:rPr>
          <w:sz w:val="22"/>
          <w:szCs w:val="22"/>
        </w:rPr>
        <w:t xml:space="preserve"> </w:t>
      </w:r>
    </w:p>
    <w:p w14:paraId="479C0B93" w14:textId="77777777" w:rsidR="00A1628E" w:rsidRPr="00212B1D" w:rsidRDefault="00A1628E" w:rsidP="004443F8">
      <w:pPr>
        <w:keepNext/>
        <w:keepLines/>
        <w:tabs>
          <w:tab w:val="left" w:pos="1134"/>
        </w:tabs>
        <w:spacing w:before="240" w:after="120"/>
        <w:ind w:left="1134" w:hanging="1134"/>
        <w:rPr>
          <w:b/>
        </w:rPr>
      </w:pPr>
      <w:r w:rsidRPr="00212B1D">
        <w:rPr>
          <w:b/>
        </w:rPr>
        <w:t>Article 30</w:t>
      </w:r>
      <w:r w:rsidRPr="00212B1D">
        <w:rPr>
          <w:b/>
        </w:rPr>
        <w:tab/>
        <w:t xml:space="preserve">Financial </w:t>
      </w:r>
      <w:r w:rsidR="004E2AD3">
        <w:rPr>
          <w:b/>
        </w:rPr>
        <w:t>g</w:t>
      </w:r>
      <w:r w:rsidRPr="00212B1D">
        <w:rPr>
          <w:b/>
        </w:rPr>
        <w:t>uarantee</w:t>
      </w:r>
    </w:p>
    <w:p w14:paraId="4746ABA1" w14:textId="202AF2A0" w:rsidR="00E72E6D" w:rsidRDefault="00CB06F5" w:rsidP="003478ED">
      <w:pPr>
        <w:spacing w:after="120"/>
        <w:ind w:left="567" w:hanging="567"/>
        <w:rPr>
          <w:bCs/>
          <w:sz w:val="22"/>
          <w:szCs w:val="22"/>
        </w:rPr>
      </w:pPr>
      <w:r w:rsidRPr="0036136C">
        <w:rPr>
          <w:bCs/>
          <w:sz w:val="22"/>
          <w:szCs w:val="22"/>
        </w:rPr>
        <w:t>30.1</w:t>
      </w:r>
      <w:r w:rsidRPr="0036136C">
        <w:rPr>
          <w:bCs/>
          <w:sz w:val="22"/>
          <w:szCs w:val="22"/>
        </w:rPr>
        <w:tab/>
      </w:r>
      <w:r w:rsidR="003478ED" w:rsidRPr="00835266">
        <w:rPr>
          <w:sz w:val="22"/>
          <w:szCs w:val="22"/>
        </w:rPr>
        <w:t>Not applicable</w:t>
      </w:r>
      <w:r w:rsidR="003478ED">
        <w:rPr>
          <w:sz w:val="22"/>
          <w:szCs w:val="22"/>
        </w:rPr>
        <w:t>.</w:t>
      </w:r>
    </w:p>
    <w:p w14:paraId="44F13189" w14:textId="77777777" w:rsidR="002A496E" w:rsidRPr="003478ED" w:rsidRDefault="002A496E" w:rsidP="00B547BD">
      <w:pPr>
        <w:keepNext/>
        <w:keepLines/>
        <w:tabs>
          <w:tab w:val="left" w:pos="1134"/>
          <w:tab w:val="left" w:pos="6495"/>
        </w:tabs>
        <w:spacing w:before="240" w:after="120"/>
        <w:ind w:left="1134" w:hanging="1134"/>
        <w:rPr>
          <w:b/>
        </w:rPr>
      </w:pPr>
      <w:r w:rsidRPr="003478ED">
        <w:rPr>
          <w:b/>
        </w:rPr>
        <w:t>Article 40</w:t>
      </w:r>
      <w:r w:rsidRPr="003478ED">
        <w:rPr>
          <w:b/>
        </w:rPr>
        <w:tab/>
        <w:t>Settlement of disputes</w:t>
      </w:r>
    </w:p>
    <w:p w14:paraId="50FE1FFD" w14:textId="33C61278" w:rsidR="00CC3E96" w:rsidRPr="00215F58" w:rsidRDefault="002A496E" w:rsidP="003478ED">
      <w:pPr>
        <w:spacing w:after="120"/>
        <w:ind w:left="567" w:hanging="567"/>
        <w:rPr>
          <w:sz w:val="22"/>
          <w:szCs w:val="22"/>
          <w:lang w:bidi="kn-IN"/>
        </w:rPr>
      </w:pPr>
      <w:r w:rsidRPr="003478ED">
        <w:rPr>
          <w:sz w:val="22"/>
          <w:szCs w:val="22"/>
        </w:rPr>
        <w:t>40</w:t>
      </w:r>
      <w:r w:rsidR="00234418" w:rsidRPr="003478ED">
        <w:rPr>
          <w:sz w:val="22"/>
          <w:szCs w:val="22"/>
        </w:rPr>
        <w:t>.</w:t>
      </w:r>
      <w:r w:rsidRPr="003478ED">
        <w:rPr>
          <w:sz w:val="22"/>
          <w:szCs w:val="22"/>
        </w:rPr>
        <w:t>4</w:t>
      </w:r>
      <w:r w:rsidR="00A44DBA" w:rsidRPr="003478ED">
        <w:rPr>
          <w:sz w:val="22"/>
          <w:szCs w:val="22"/>
        </w:rPr>
        <w:tab/>
      </w:r>
      <w:r w:rsidR="002E755C" w:rsidRPr="003478ED">
        <w:rPr>
          <w:sz w:val="22"/>
          <w:szCs w:val="22"/>
        </w:rPr>
        <w:t>A</w:t>
      </w:r>
      <w:r w:rsidR="009642E7" w:rsidRPr="003478ED">
        <w:rPr>
          <w:sz w:val="22"/>
          <w:szCs w:val="22"/>
        </w:rPr>
        <w:t xml:space="preserve">ny </w:t>
      </w:r>
      <w:r w:rsidR="00CC3E96" w:rsidRPr="003478ED">
        <w:rPr>
          <w:sz w:val="22"/>
          <w:szCs w:val="22"/>
          <w:lang w:bidi="kn-IN"/>
        </w:rPr>
        <w:t xml:space="preserve">dispute arising out of or relating to this contract which cannot be settled otherwise shall be referred to the exclusive jurisdiction of the courts of </w:t>
      </w:r>
      <w:r w:rsidR="003478ED" w:rsidRPr="003478ED">
        <w:rPr>
          <w:sz w:val="22"/>
          <w:szCs w:val="22"/>
          <w:lang w:bidi="kn-IN"/>
        </w:rPr>
        <w:t xml:space="preserve">Montenegro </w:t>
      </w:r>
      <w:r w:rsidR="00CC3E96" w:rsidRPr="003478ED">
        <w:rPr>
          <w:sz w:val="22"/>
          <w:szCs w:val="22"/>
          <w:lang w:bidi="kn-IN"/>
        </w:rPr>
        <w:t>in accordance with its national legislation.</w:t>
      </w:r>
    </w:p>
    <w:p w14:paraId="11EA220C" w14:textId="77777777" w:rsidR="00212B1D" w:rsidRPr="0036136C" w:rsidRDefault="00212B1D" w:rsidP="00215F58">
      <w:pPr>
        <w:spacing w:before="600"/>
        <w:ind w:left="1418" w:hanging="1418"/>
        <w:jc w:val="center"/>
        <w:rPr>
          <w:sz w:val="22"/>
          <w:szCs w:val="22"/>
        </w:rPr>
      </w:pPr>
      <w:r>
        <w:rPr>
          <w:sz w:val="22"/>
          <w:szCs w:val="22"/>
        </w:rPr>
        <w:t>* * *</w:t>
      </w:r>
    </w:p>
    <w:sectPr w:rsidR="00212B1D" w:rsidRPr="0036136C" w:rsidSect="00215F58">
      <w:footerReference w:type="default" r:id="rId9"/>
      <w:footerReference w:type="first" r:id="rId10"/>
      <w:pgSz w:w="11913" w:h="16834" w:code="9"/>
      <w:pgMar w:top="1134" w:right="1418" w:bottom="1276" w:left="1134" w:header="720" w:footer="534" w:gutter="567"/>
      <w:paperSrc w:first="15" w:other="15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1376F" w14:textId="77777777" w:rsidR="004F7E31" w:rsidRDefault="004F7E31">
      <w:r>
        <w:separator/>
      </w:r>
    </w:p>
  </w:endnote>
  <w:endnote w:type="continuationSeparator" w:id="0">
    <w:p w14:paraId="0EBCD653" w14:textId="77777777" w:rsidR="004F7E31" w:rsidRDefault="004F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BC627" w14:textId="45AB43A2" w:rsidR="00C951BF" w:rsidRPr="00C9543A" w:rsidRDefault="00C951BF" w:rsidP="004B7C2F">
    <w:pPr>
      <w:pStyle w:val="Footer"/>
      <w:tabs>
        <w:tab w:val="right" w:pos="8505"/>
      </w:tabs>
      <w:spacing w:before="120"/>
      <w:rPr>
        <w:rStyle w:val="PageNumber"/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7439DD">
      <w:rPr>
        <w:rFonts w:ascii="Times New Roman" w:hAnsi="Times New Roman"/>
        <w:b/>
        <w:sz w:val="18"/>
        <w:szCs w:val="18"/>
      </w:rPr>
      <w:t>5</w:t>
    </w:r>
    <w:r w:rsidRPr="00953EE9">
      <w:rPr>
        <w:rFonts w:ascii="Times New Roman" w:hAnsi="Times New Roman"/>
        <w:sz w:val="18"/>
        <w:szCs w:val="18"/>
      </w:rPr>
      <w:tab/>
      <w:t xml:space="preserve">Page </w:t>
    </w:r>
    <w:r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BF5D67">
      <w:rPr>
        <w:rStyle w:val="PageNumber"/>
        <w:rFonts w:ascii="Times New Roman" w:hAnsi="Times New Roman"/>
        <w:noProof/>
        <w:sz w:val="18"/>
        <w:szCs w:val="18"/>
      </w:rPr>
      <w:t>4</w:t>
    </w:r>
    <w:r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BF5D67">
      <w:rPr>
        <w:rStyle w:val="PageNumber"/>
        <w:rFonts w:ascii="Times New Roman" w:hAnsi="Times New Roman"/>
        <w:noProof/>
        <w:sz w:val="18"/>
        <w:szCs w:val="18"/>
      </w:rPr>
      <w:t>4</w:t>
    </w:r>
    <w:r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14:paraId="518DBA28" w14:textId="7B471AEE" w:rsidR="00C951BF" w:rsidRPr="00953EE9" w:rsidRDefault="004124F6" w:rsidP="004124F6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r>
      <w:rPr>
        <w:rStyle w:val="PageNumber"/>
        <w:rFonts w:ascii="Times New Roman" w:hAnsi="Times New Roman"/>
        <w:sz w:val="18"/>
        <w:szCs w:val="18"/>
      </w:rPr>
      <w:fldChar w:fldCharType="begin"/>
    </w:r>
    <w:r>
      <w:rPr>
        <w:rStyle w:val="PageNumber"/>
        <w:rFonts w:ascii="Times New Roman" w:hAnsi="Times New Roman"/>
        <w:sz w:val="18"/>
        <w:szCs w:val="18"/>
      </w:rPr>
      <w:instrText xml:space="preserve"> FILENAME   \* MERGEFORMAT </w:instrText>
    </w:r>
    <w:r>
      <w:rPr>
        <w:rStyle w:val="PageNumber"/>
        <w:rFonts w:ascii="Times New Roman" w:hAnsi="Times New Roman"/>
        <w:sz w:val="18"/>
        <w:szCs w:val="18"/>
      </w:rPr>
      <w:fldChar w:fldCharType="separate"/>
    </w:r>
    <w:r w:rsidR="00215F58">
      <w:rPr>
        <w:rStyle w:val="PageNumber"/>
        <w:rFonts w:ascii="Times New Roman" w:hAnsi="Times New Roman"/>
        <w:noProof/>
        <w:sz w:val="18"/>
        <w:szCs w:val="18"/>
      </w:rPr>
      <w:t>b8c2_specialconditions_en.docx</w:t>
    </w:r>
    <w:r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50449" w14:textId="0890FED2" w:rsidR="00C951BF" w:rsidRPr="00953EE9" w:rsidRDefault="00C951BF" w:rsidP="00DB3187">
    <w:pPr>
      <w:pStyle w:val="Footer"/>
      <w:tabs>
        <w:tab w:val="right" w:pos="8505"/>
      </w:tabs>
      <w:rPr>
        <w:rStyle w:val="PageNumber"/>
        <w:rFonts w:ascii="Times New Roman" w:hAnsi="Times New Roman"/>
        <w:sz w:val="18"/>
        <w:szCs w:val="18"/>
      </w:rPr>
    </w:pPr>
    <w:r>
      <w:rPr>
        <w:rFonts w:ascii="Times New Roman" w:hAnsi="Times New Roman"/>
        <w:b/>
        <w:sz w:val="18"/>
        <w:szCs w:val="18"/>
      </w:rPr>
      <w:t>202</w:t>
    </w:r>
    <w:r w:rsidR="004124F6">
      <w:rPr>
        <w:rFonts w:ascii="Times New Roman" w:hAnsi="Times New Roman"/>
        <w:b/>
        <w:sz w:val="18"/>
        <w:szCs w:val="18"/>
      </w:rPr>
      <w:t>4</w:t>
    </w:r>
    <w:r w:rsidRPr="00953EE9">
      <w:rPr>
        <w:rFonts w:ascii="Times New Roman" w:hAnsi="Times New Roman"/>
        <w:sz w:val="18"/>
        <w:szCs w:val="18"/>
      </w:rPr>
      <w:tab/>
      <w:t xml:space="preserve">Page </w:t>
    </w:r>
    <w:r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PAGE </w:instrText>
    </w:r>
    <w:r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CA1710">
      <w:rPr>
        <w:rStyle w:val="PageNumber"/>
        <w:rFonts w:ascii="Times New Roman" w:hAnsi="Times New Roman"/>
        <w:noProof/>
        <w:sz w:val="18"/>
        <w:szCs w:val="18"/>
      </w:rPr>
      <w:t>1</w:t>
    </w:r>
    <w:r w:rsidRPr="00953EE9">
      <w:rPr>
        <w:rStyle w:val="PageNumber"/>
        <w:rFonts w:ascii="Times New Roman" w:hAnsi="Times New Roman"/>
        <w:sz w:val="18"/>
        <w:szCs w:val="18"/>
      </w:rPr>
      <w:fldChar w:fldCharType="end"/>
    </w:r>
    <w:r w:rsidRPr="00953EE9">
      <w:rPr>
        <w:rStyle w:val="PageNumber"/>
        <w:rFonts w:ascii="Times New Roman" w:hAnsi="Times New Roman"/>
        <w:sz w:val="18"/>
        <w:szCs w:val="18"/>
      </w:rPr>
      <w:t xml:space="preserve"> of </w:t>
    </w:r>
    <w:r w:rsidRPr="00953EE9">
      <w:rPr>
        <w:rStyle w:val="PageNumber"/>
        <w:rFonts w:ascii="Times New Roman" w:hAnsi="Times New Roman"/>
        <w:sz w:val="18"/>
        <w:szCs w:val="18"/>
      </w:rPr>
      <w:fldChar w:fldCharType="begin"/>
    </w:r>
    <w:r w:rsidRPr="00953EE9">
      <w:rPr>
        <w:rStyle w:val="PageNumber"/>
        <w:rFonts w:ascii="Times New Roman" w:hAnsi="Times New Roman"/>
        <w:sz w:val="18"/>
        <w:szCs w:val="18"/>
      </w:rPr>
      <w:instrText xml:space="preserve"> NUMPAGES </w:instrText>
    </w:r>
    <w:r w:rsidRPr="00953EE9">
      <w:rPr>
        <w:rStyle w:val="PageNumber"/>
        <w:rFonts w:ascii="Times New Roman" w:hAnsi="Times New Roman"/>
        <w:sz w:val="18"/>
        <w:szCs w:val="18"/>
      </w:rPr>
      <w:fldChar w:fldCharType="separate"/>
    </w:r>
    <w:r w:rsidR="00CA1710">
      <w:rPr>
        <w:rStyle w:val="PageNumber"/>
        <w:rFonts w:ascii="Times New Roman" w:hAnsi="Times New Roman"/>
        <w:noProof/>
        <w:sz w:val="18"/>
        <w:szCs w:val="18"/>
      </w:rPr>
      <w:t>20</w:t>
    </w:r>
    <w:r w:rsidRPr="00953EE9">
      <w:rPr>
        <w:rStyle w:val="PageNumber"/>
        <w:rFonts w:ascii="Times New Roman" w:hAnsi="Times New Roman"/>
        <w:sz w:val="18"/>
        <w:szCs w:val="18"/>
      </w:rPr>
      <w:fldChar w:fldCharType="end"/>
    </w:r>
  </w:p>
  <w:p w14:paraId="0BA24268" w14:textId="77777777" w:rsidR="00C951BF" w:rsidRPr="00953EE9" w:rsidRDefault="00C951BF" w:rsidP="00DB3187">
    <w:pPr>
      <w:pStyle w:val="Footer"/>
      <w:tabs>
        <w:tab w:val="right" w:pos="8505"/>
      </w:tabs>
      <w:rPr>
        <w:rFonts w:ascii="Times New Roman" w:hAnsi="Times New Roman"/>
        <w:sz w:val="18"/>
        <w:szCs w:val="18"/>
      </w:rPr>
    </w:pPr>
    <w:r w:rsidRPr="00315FD3">
      <w:rPr>
        <w:rStyle w:val="PageNumber"/>
        <w:rFonts w:ascii="Times New Roman" w:hAnsi="Times New Roman"/>
        <w:sz w:val="18"/>
        <w:szCs w:val="18"/>
      </w:rPr>
      <w:fldChar w:fldCharType="begin"/>
    </w:r>
    <w:r w:rsidRPr="00315FD3">
      <w:rPr>
        <w:rStyle w:val="PageNumber"/>
        <w:rFonts w:ascii="Times New Roman" w:hAnsi="Times New Roman"/>
        <w:sz w:val="18"/>
        <w:szCs w:val="18"/>
      </w:rPr>
      <w:instrText xml:space="preserve"> FILENAME </w:instrText>
    </w:r>
    <w:r w:rsidRPr="00315FD3">
      <w:rPr>
        <w:rStyle w:val="PageNumber"/>
        <w:rFonts w:ascii="Times New Roman" w:hAnsi="Times New Roman"/>
        <w:sz w:val="18"/>
        <w:szCs w:val="18"/>
      </w:rPr>
      <w:fldChar w:fldCharType="separate"/>
    </w:r>
    <w:r>
      <w:rPr>
        <w:rStyle w:val="PageNumber"/>
        <w:rFonts w:ascii="Times New Roman" w:hAnsi="Times New Roman"/>
        <w:noProof/>
        <w:sz w:val="18"/>
        <w:szCs w:val="18"/>
      </w:rPr>
      <w:t>b8c_contract_en.doc</w:t>
    </w:r>
    <w:r w:rsidRPr="00315FD3">
      <w:rPr>
        <w:rStyle w:val="PageNumber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CC41E" w14:textId="77777777" w:rsidR="004F7E31" w:rsidRDefault="004F7E31" w:rsidP="004B7C2F">
      <w:pPr>
        <w:spacing w:before="120" w:after="0"/>
      </w:pPr>
      <w:r>
        <w:separator/>
      </w:r>
    </w:p>
  </w:footnote>
  <w:footnote w:type="continuationSeparator" w:id="0">
    <w:p w14:paraId="43623CA4" w14:textId="77777777" w:rsidR="004F7E31" w:rsidRDefault="004F7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347ADB"/>
    <w:multiLevelType w:val="multilevel"/>
    <w:tmpl w:val="F9B8A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0A080A08"/>
    <w:multiLevelType w:val="hybridMultilevel"/>
    <w:tmpl w:val="2A1E1A7A"/>
    <w:lvl w:ilvl="0" w:tplc="147E7F60">
      <w:start w:val="1"/>
      <w:numFmt w:val="lowerLetter"/>
      <w:lvlText w:val="(%1)"/>
      <w:lvlJc w:val="left"/>
      <w:pPr>
        <w:ind w:left="24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960" w:hanging="360"/>
      </w:pPr>
    </w:lvl>
    <w:lvl w:ilvl="2" w:tplc="1809001B" w:tentative="1">
      <w:start w:val="1"/>
      <w:numFmt w:val="lowerRoman"/>
      <w:lvlText w:val="%3."/>
      <w:lvlJc w:val="right"/>
      <w:pPr>
        <w:ind w:left="1680" w:hanging="180"/>
      </w:pPr>
    </w:lvl>
    <w:lvl w:ilvl="3" w:tplc="1809000F" w:tentative="1">
      <w:start w:val="1"/>
      <w:numFmt w:val="decimal"/>
      <w:lvlText w:val="%4."/>
      <w:lvlJc w:val="left"/>
      <w:pPr>
        <w:ind w:left="2400" w:hanging="360"/>
      </w:pPr>
    </w:lvl>
    <w:lvl w:ilvl="4" w:tplc="18090019" w:tentative="1">
      <w:start w:val="1"/>
      <w:numFmt w:val="lowerLetter"/>
      <w:lvlText w:val="%5."/>
      <w:lvlJc w:val="left"/>
      <w:pPr>
        <w:ind w:left="3120" w:hanging="360"/>
      </w:pPr>
    </w:lvl>
    <w:lvl w:ilvl="5" w:tplc="1809001B" w:tentative="1">
      <w:start w:val="1"/>
      <w:numFmt w:val="lowerRoman"/>
      <w:lvlText w:val="%6."/>
      <w:lvlJc w:val="right"/>
      <w:pPr>
        <w:ind w:left="3840" w:hanging="180"/>
      </w:pPr>
    </w:lvl>
    <w:lvl w:ilvl="6" w:tplc="1809000F" w:tentative="1">
      <w:start w:val="1"/>
      <w:numFmt w:val="decimal"/>
      <w:lvlText w:val="%7."/>
      <w:lvlJc w:val="left"/>
      <w:pPr>
        <w:ind w:left="4560" w:hanging="360"/>
      </w:pPr>
    </w:lvl>
    <w:lvl w:ilvl="7" w:tplc="18090019" w:tentative="1">
      <w:start w:val="1"/>
      <w:numFmt w:val="lowerLetter"/>
      <w:lvlText w:val="%8."/>
      <w:lvlJc w:val="left"/>
      <w:pPr>
        <w:ind w:left="5280" w:hanging="360"/>
      </w:pPr>
    </w:lvl>
    <w:lvl w:ilvl="8" w:tplc="18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>
    <w:nsid w:val="1A0D2552"/>
    <w:multiLevelType w:val="hybridMultilevel"/>
    <w:tmpl w:val="ED8C9782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484D2F"/>
    <w:multiLevelType w:val="multilevel"/>
    <w:tmpl w:val="AEA6977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01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8" w:hanging="1440"/>
      </w:pPr>
      <w:rPr>
        <w:rFonts w:hint="default"/>
      </w:rPr>
    </w:lvl>
  </w:abstractNum>
  <w:abstractNum w:abstractNumId="11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2934225"/>
    <w:multiLevelType w:val="singleLevel"/>
    <w:tmpl w:val="54C456B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>
    <w:nsid w:val="49811BFF"/>
    <w:multiLevelType w:val="hybridMultilevel"/>
    <w:tmpl w:val="0E6478CA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36DD2"/>
    <w:multiLevelType w:val="multilevel"/>
    <w:tmpl w:val="DA7AF570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5"/>
      <w:numFmt w:val="decimal"/>
      <w:lvlText w:val="%1.%2"/>
      <w:lvlJc w:val="left"/>
      <w:pPr>
        <w:ind w:left="522" w:hanging="480"/>
      </w:pPr>
    </w:lvl>
    <w:lvl w:ilvl="2">
      <w:start w:val="2"/>
      <w:numFmt w:val="decimal"/>
      <w:lvlText w:val="%1.%2.%3"/>
      <w:lvlJc w:val="left"/>
      <w:pPr>
        <w:ind w:left="804" w:hanging="720"/>
      </w:pPr>
      <w:rPr>
        <w:i w:val="0"/>
        <w:iCs/>
      </w:rPr>
    </w:lvl>
    <w:lvl w:ilvl="3">
      <w:start w:val="1"/>
      <w:numFmt w:val="decimal"/>
      <w:lvlText w:val="%1.%2.%3.%4"/>
      <w:lvlJc w:val="left"/>
      <w:pPr>
        <w:ind w:left="846" w:hanging="720"/>
      </w:pPr>
    </w:lvl>
    <w:lvl w:ilvl="4">
      <w:start w:val="1"/>
      <w:numFmt w:val="decimal"/>
      <w:lvlText w:val="%1.%2.%3.%4.%5"/>
      <w:lvlJc w:val="left"/>
      <w:pPr>
        <w:ind w:left="1248" w:hanging="1080"/>
      </w:pPr>
    </w:lvl>
    <w:lvl w:ilvl="5">
      <w:start w:val="1"/>
      <w:numFmt w:val="decimal"/>
      <w:lvlText w:val="%1.%2.%3.%4.%5.%6"/>
      <w:lvlJc w:val="left"/>
      <w:pPr>
        <w:ind w:left="1290" w:hanging="1080"/>
      </w:pPr>
    </w:lvl>
    <w:lvl w:ilvl="6">
      <w:start w:val="1"/>
      <w:numFmt w:val="decimal"/>
      <w:lvlText w:val="%1.%2.%3.%4.%5.%6.%7"/>
      <w:lvlJc w:val="left"/>
      <w:pPr>
        <w:ind w:left="1692" w:hanging="1440"/>
      </w:pPr>
    </w:lvl>
    <w:lvl w:ilvl="7">
      <w:start w:val="1"/>
      <w:numFmt w:val="decimal"/>
      <w:lvlText w:val="%1.%2.%3.%4.%5.%6.%7.%8"/>
      <w:lvlJc w:val="left"/>
      <w:pPr>
        <w:ind w:left="1734" w:hanging="1440"/>
      </w:pPr>
    </w:lvl>
    <w:lvl w:ilvl="8">
      <w:start w:val="1"/>
      <w:numFmt w:val="decimal"/>
      <w:lvlText w:val="%1.%2.%3.%4.%5.%6.%7.%8.%9"/>
      <w:lvlJc w:val="left"/>
      <w:pPr>
        <w:ind w:left="1776" w:hanging="1440"/>
      </w:pPr>
    </w:lvl>
  </w:abstractNum>
  <w:abstractNum w:abstractNumId="18">
    <w:nsid w:val="53ED04AF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0">
    <w:nsid w:val="5A4A1621"/>
    <w:multiLevelType w:val="hybridMultilevel"/>
    <w:tmpl w:val="EFE825E4"/>
    <w:lvl w:ilvl="0" w:tplc="E06E9E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6DC062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2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3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4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7A1D7248"/>
    <w:multiLevelType w:val="hybridMultilevel"/>
    <w:tmpl w:val="5C300770"/>
    <w:lvl w:ilvl="0" w:tplc="5E8C8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0"/>
  </w:num>
  <w:num w:numId="4">
    <w:abstractNumId w:val="20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23"/>
  </w:num>
  <w:num w:numId="10">
    <w:abstractNumId w:val="26"/>
  </w:num>
  <w:num w:numId="11">
    <w:abstractNumId w:val="9"/>
  </w:num>
  <w:num w:numId="12">
    <w:abstractNumId w:val="22"/>
  </w:num>
  <w:num w:numId="13">
    <w:abstractNumId w:val="21"/>
  </w:num>
  <w:num w:numId="14">
    <w:abstractNumId w:val="15"/>
  </w:num>
  <w:num w:numId="15">
    <w:abstractNumId w:val="19"/>
  </w:num>
  <w:num w:numId="16">
    <w:abstractNumId w:val="6"/>
  </w:num>
  <w:num w:numId="17">
    <w:abstractNumId w:val="11"/>
  </w:num>
  <w:num w:numId="18">
    <w:abstractNumId w:val="5"/>
  </w:num>
  <w:num w:numId="19">
    <w:abstractNumId w:val="8"/>
  </w:num>
  <w:num w:numId="20">
    <w:abstractNumId w:val="27"/>
  </w:num>
  <w:num w:numId="21">
    <w:abstractNumId w:val="28"/>
  </w:num>
  <w:num w:numId="22">
    <w:abstractNumId w:val="2"/>
  </w:num>
  <w:num w:numId="23">
    <w:abstractNumId w:val="16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3"/>
  </w:num>
  <w:num w:numId="29">
    <w:abstractNumId w:val="13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894E32"/>
    <w:rsid w:val="00005AE9"/>
    <w:rsid w:val="00006C61"/>
    <w:rsid w:val="00011271"/>
    <w:rsid w:val="00016DC6"/>
    <w:rsid w:val="00017FF9"/>
    <w:rsid w:val="00023094"/>
    <w:rsid w:val="00032B00"/>
    <w:rsid w:val="000339D4"/>
    <w:rsid w:val="00033A20"/>
    <w:rsid w:val="000358A1"/>
    <w:rsid w:val="000366D7"/>
    <w:rsid w:val="0003789B"/>
    <w:rsid w:val="00040832"/>
    <w:rsid w:val="000427DA"/>
    <w:rsid w:val="00042DFE"/>
    <w:rsid w:val="00043496"/>
    <w:rsid w:val="00044E0D"/>
    <w:rsid w:val="000450B9"/>
    <w:rsid w:val="00051D85"/>
    <w:rsid w:val="000530F1"/>
    <w:rsid w:val="00053401"/>
    <w:rsid w:val="00057077"/>
    <w:rsid w:val="00061E96"/>
    <w:rsid w:val="00062765"/>
    <w:rsid w:val="00070187"/>
    <w:rsid w:val="000701F2"/>
    <w:rsid w:val="00071FDC"/>
    <w:rsid w:val="000728CB"/>
    <w:rsid w:val="00072FCD"/>
    <w:rsid w:val="000750E4"/>
    <w:rsid w:val="000751CA"/>
    <w:rsid w:val="0008054B"/>
    <w:rsid w:val="000824EE"/>
    <w:rsid w:val="0008449C"/>
    <w:rsid w:val="00086958"/>
    <w:rsid w:val="00087224"/>
    <w:rsid w:val="00090FC9"/>
    <w:rsid w:val="000934C6"/>
    <w:rsid w:val="000A20B7"/>
    <w:rsid w:val="000A47F9"/>
    <w:rsid w:val="000B121C"/>
    <w:rsid w:val="000B4FE6"/>
    <w:rsid w:val="000B7416"/>
    <w:rsid w:val="000C0EEC"/>
    <w:rsid w:val="000C2BAA"/>
    <w:rsid w:val="000C2FFF"/>
    <w:rsid w:val="000C31E3"/>
    <w:rsid w:val="000C55F2"/>
    <w:rsid w:val="000D06DF"/>
    <w:rsid w:val="000D35DA"/>
    <w:rsid w:val="000D3BFD"/>
    <w:rsid w:val="000D3DA8"/>
    <w:rsid w:val="000D53C4"/>
    <w:rsid w:val="000E001E"/>
    <w:rsid w:val="000E35A3"/>
    <w:rsid w:val="000E4CB1"/>
    <w:rsid w:val="000F206E"/>
    <w:rsid w:val="000F2887"/>
    <w:rsid w:val="000F5076"/>
    <w:rsid w:val="00101CF7"/>
    <w:rsid w:val="00104E2C"/>
    <w:rsid w:val="001074CE"/>
    <w:rsid w:val="00110F82"/>
    <w:rsid w:val="00111F83"/>
    <w:rsid w:val="00113F5C"/>
    <w:rsid w:val="0011405C"/>
    <w:rsid w:val="00117766"/>
    <w:rsid w:val="00121FDD"/>
    <w:rsid w:val="00124678"/>
    <w:rsid w:val="00124BB1"/>
    <w:rsid w:val="001265F2"/>
    <w:rsid w:val="00126AF2"/>
    <w:rsid w:val="00132B25"/>
    <w:rsid w:val="00135C0C"/>
    <w:rsid w:val="00144426"/>
    <w:rsid w:val="00146A95"/>
    <w:rsid w:val="00146DBB"/>
    <w:rsid w:val="0015238E"/>
    <w:rsid w:val="001568C1"/>
    <w:rsid w:val="00161CD1"/>
    <w:rsid w:val="00173A14"/>
    <w:rsid w:val="00174344"/>
    <w:rsid w:val="00175049"/>
    <w:rsid w:val="0018297E"/>
    <w:rsid w:val="00183CCA"/>
    <w:rsid w:val="00185D7E"/>
    <w:rsid w:val="00186098"/>
    <w:rsid w:val="00187039"/>
    <w:rsid w:val="001874DD"/>
    <w:rsid w:val="00191210"/>
    <w:rsid w:val="001930F1"/>
    <w:rsid w:val="001A1F99"/>
    <w:rsid w:val="001A58B4"/>
    <w:rsid w:val="001A5C4D"/>
    <w:rsid w:val="001C336C"/>
    <w:rsid w:val="001C7238"/>
    <w:rsid w:val="001C7559"/>
    <w:rsid w:val="001C7D7B"/>
    <w:rsid w:val="001D1474"/>
    <w:rsid w:val="001D1A9D"/>
    <w:rsid w:val="001D65C2"/>
    <w:rsid w:val="001E0EC6"/>
    <w:rsid w:val="001E1D6E"/>
    <w:rsid w:val="001E1F77"/>
    <w:rsid w:val="001E201E"/>
    <w:rsid w:val="001E254A"/>
    <w:rsid w:val="001E26E5"/>
    <w:rsid w:val="001F07BC"/>
    <w:rsid w:val="001F0D5E"/>
    <w:rsid w:val="001F1AD0"/>
    <w:rsid w:val="001F1B16"/>
    <w:rsid w:val="001F2638"/>
    <w:rsid w:val="001F27DE"/>
    <w:rsid w:val="00200B0C"/>
    <w:rsid w:val="0020418E"/>
    <w:rsid w:val="00205E35"/>
    <w:rsid w:val="00207D06"/>
    <w:rsid w:val="00212B1D"/>
    <w:rsid w:val="00213A97"/>
    <w:rsid w:val="0021555F"/>
    <w:rsid w:val="00215F58"/>
    <w:rsid w:val="00221C38"/>
    <w:rsid w:val="002250E9"/>
    <w:rsid w:val="00226B14"/>
    <w:rsid w:val="0023063F"/>
    <w:rsid w:val="00232A40"/>
    <w:rsid w:val="00234418"/>
    <w:rsid w:val="0024276B"/>
    <w:rsid w:val="00243524"/>
    <w:rsid w:val="00243E49"/>
    <w:rsid w:val="002472A6"/>
    <w:rsid w:val="00247C14"/>
    <w:rsid w:val="002506DE"/>
    <w:rsid w:val="002520A5"/>
    <w:rsid w:val="0025367F"/>
    <w:rsid w:val="00256345"/>
    <w:rsid w:val="00257023"/>
    <w:rsid w:val="0025728B"/>
    <w:rsid w:val="00261C2A"/>
    <w:rsid w:val="0026241E"/>
    <w:rsid w:val="00264115"/>
    <w:rsid w:val="002646BE"/>
    <w:rsid w:val="00266806"/>
    <w:rsid w:val="002747C3"/>
    <w:rsid w:val="00274AD4"/>
    <w:rsid w:val="00282E89"/>
    <w:rsid w:val="00290792"/>
    <w:rsid w:val="0029133D"/>
    <w:rsid w:val="002913CC"/>
    <w:rsid w:val="00291537"/>
    <w:rsid w:val="00295E15"/>
    <w:rsid w:val="002972D0"/>
    <w:rsid w:val="002A17EA"/>
    <w:rsid w:val="002A34D3"/>
    <w:rsid w:val="002A4550"/>
    <w:rsid w:val="002A496E"/>
    <w:rsid w:val="002A62E0"/>
    <w:rsid w:val="002A7372"/>
    <w:rsid w:val="002A7DFD"/>
    <w:rsid w:val="002B0683"/>
    <w:rsid w:val="002B1998"/>
    <w:rsid w:val="002B3407"/>
    <w:rsid w:val="002B4BA8"/>
    <w:rsid w:val="002B5865"/>
    <w:rsid w:val="002B7195"/>
    <w:rsid w:val="002B791A"/>
    <w:rsid w:val="002C394B"/>
    <w:rsid w:val="002C44F1"/>
    <w:rsid w:val="002C5672"/>
    <w:rsid w:val="002C5DC4"/>
    <w:rsid w:val="002C7B24"/>
    <w:rsid w:val="002D2630"/>
    <w:rsid w:val="002D42AA"/>
    <w:rsid w:val="002D4402"/>
    <w:rsid w:val="002D49DD"/>
    <w:rsid w:val="002E25DF"/>
    <w:rsid w:val="002E4657"/>
    <w:rsid w:val="002E755C"/>
    <w:rsid w:val="002F1723"/>
    <w:rsid w:val="002F4E6C"/>
    <w:rsid w:val="002F56E6"/>
    <w:rsid w:val="00302E94"/>
    <w:rsid w:val="003110FE"/>
    <w:rsid w:val="00312F95"/>
    <w:rsid w:val="00315232"/>
    <w:rsid w:val="00315FD3"/>
    <w:rsid w:val="003214BF"/>
    <w:rsid w:val="003246DC"/>
    <w:rsid w:val="00326294"/>
    <w:rsid w:val="00336848"/>
    <w:rsid w:val="00343A9D"/>
    <w:rsid w:val="00344055"/>
    <w:rsid w:val="003460BB"/>
    <w:rsid w:val="003462F8"/>
    <w:rsid w:val="003478ED"/>
    <w:rsid w:val="00347E82"/>
    <w:rsid w:val="00355978"/>
    <w:rsid w:val="003601D0"/>
    <w:rsid w:val="0036122D"/>
    <w:rsid w:val="0036136C"/>
    <w:rsid w:val="00361AE4"/>
    <w:rsid w:val="00361ED1"/>
    <w:rsid w:val="003701BC"/>
    <w:rsid w:val="0037119C"/>
    <w:rsid w:val="00373CEE"/>
    <w:rsid w:val="003801FF"/>
    <w:rsid w:val="00384C71"/>
    <w:rsid w:val="00392DCF"/>
    <w:rsid w:val="00394C7E"/>
    <w:rsid w:val="0039593C"/>
    <w:rsid w:val="003A343A"/>
    <w:rsid w:val="003A718E"/>
    <w:rsid w:val="003B5424"/>
    <w:rsid w:val="003C141F"/>
    <w:rsid w:val="003C220B"/>
    <w:rsid w:val="003D0E92"/>
    <w:rsid w:val="003D1975"/>
    <w:rsid w:val="003D1F31"/>
    <w:rsid w:val="003D30A3"/>
    <w:rsid w:val="003D6395"/>
    <w:rsid w:val="003E1845"/>
    <w:rsid w:val="003E1A9F"/>
    <w:rsid w:val="003E5714"/>
    <w:rsid w:val="003E60FF"/>
    <w:rsid w:val="003F4EF2"/>
    <w:rsid w:val="003F517E"/>
    <w:rsid w:val="004005B3"/>
    <w:rsid w:val="00400834"/>
    <w:rsid w:val="004050DA"/>
    <w:rsid w:val="004115B2"/>
    <w:rsid w:val="004117B5"/>
    <w:rsid w:val="004124F6"/>
    <w:rsid w:val="004212EA"/>
    <w:rsid w:val="0042392E"/>
    <w:rsid w:val="00424BB8"/>
    <w:rsid w:val="004302AD"/>
    <w:rsid w:val="00431188"/>
    <w:rsid w:val="00433C9F"/>
    <w:rsid w:val="0043610E"/>
    <w:rsid w:val="00437A06"/>
    <w:rsid w:val="00440E53"/>
    <w:rsid w:val="004443F8"/>
    <w:rsid w:val="004447AD"/>
    <w:rsid w:val="0044635D"/>
    <w:rsid w:val="00446C2A"/>
    <w:rsid w:val="00451C15"/>
    <w:rsid w:val="0045267A"/>
    <w:rsid w:val="0045347B"/>
    <w:rsid w:val="004540D9"/>
    <w:rsid w:val="004659F6"/>
    <w:rsid w:val="004701B3"/>
    <w:rsid w:val="0047146D"/>
    <w:rsid w:val="004800E1"/>
    <w:rsid w:val="0048291C"/>
    <w:rsid w:val="00483151"/>
    <w:rsid w:val="00485444"/>
    <w:rsid w:val="004937C8"/>
    <w:rsid w:val="004953D9"/>
    <w:rsid w:val="00497C38"/>
    <w:rsid w:val="004A4E5A"/>
    <w:rsid w:val="004A4E88"/>
    <w:rsid w:val="004B0905"/>
    <w:rsid w:val="004B7527"/>
    <w:rsid w:val="004B7C2F"/>
    <w:rsid w:val="004C6B71"/>
    <w:rsid w:val="004D47B4"/>
    <w:rsid w:val="004D4E2C"/>
    <w:rsid w:val="004D6B3C"/>
    <w:rsid w:val="004E00C9"/>
    <w:rsid w:val="004E2AD3"/>
    <w:rsid w:val="004E3301"/>
    <w:rsid w:val="004E4458"/>
    <w:rsid w:val="004E4DEC"/>
    <w:rsid w:val="004E5E9C"/>
    <w:rsid w:val="004E6BA6"/>
    <w:rsid w:val="004E7248"/>
    <w:rsid w:val="004E7779"/>
    <w:rsid w:val="004F0AAB"/>
    <w:rsid w:val="004F1B12"/>
    <w:rsid w:val="004F1B97"/>
    <w:rsid w:val="004F2FC8"/>
    <w:rsid w:val="004F3059"/>
    <w:rsid w:val="004F3A21"/>
    <w:rsid w:val="004F428F"/>
    <w:rsid w:val="004F5E13"/>
    <w:rsid w:val="004F7E31"/>
    <w:rsid w:val="005032DF"/>
    <w:rsid w:val="00505423"/>
    <w:rsid w:val="00516597"/>
    <w:rsid w:val="00516E46"/>
    <w:rsid w:val="00520A6C"/>
    <w:rsid w:val="005219CA"/>
    <w:rsid w:val="00521B12"/>
    <w:rsid w:val="00526346"/>
    <w:rsid w:val="00527116"/>
    <w:rsid w:val="0053254F"/>
    <w:rsid w:val="00533BD1"/>
    <w:rsid w:val="0053526F"/>
    <w:rsid w:val="0053793A"/>
    <w:rsid w:val="00542C5C"/>
    <w:rsid w:val="00545963"/>
    <w:rsid w:val="00547AF0"/>
    <w:rsid w:val="00550829"/>
    <w:rsid w:val="00552C6E"/>
    <w:rsid w:val="00556095"/>
    <w:rsid w:val="00556096"/>
    <w:rsid w:val="005564B9"/>
    <w:rsid w:val="005605EB"/>
    <w:rsid w:val="00560679"/>
    <w:rsid w:val="0056134C"/>
    <w:rsid w:val="00563D8D"/>
    <w:rsid w:val="005721D6"/>
    <w:rsid w:val="00573139"/>
    <w:rsid w:val="005765C2"/>
    <w:rsid w:val="0058059B"/>
    <w:rsid w:val="0058169D"/>
    <w:rsid w:val="005832D0"/>
    <w:rsid w:val="00584668"/>
    <w:rsid w:val="00586E35"/>
    <w:rsid w:val="0059045F"/>
    <w:rsid w:val="00592761"/>
    <w:rsid w:val="005936BC"/>
    <w:rsid w:val="00593F85"/>
    <w:rsid w:val="005A1173"/>
    <w:rsid w:val="005A2780"/>
    <w:rsid w:val="005A4325"/>
    <w:rsid w:val="005A4501"/>
    <w:rsid w:val="005A46E9"/>
    <w:rsid w:val="005A65C7"/>
    <w:rsid w:val="005B17CD"/>
    <w:rsid w:val="005B2188"/>
    <w:rsid w:val="005B5044"/>
    <w:rsid w:val="005C0DEE"/>
    <w:rsid w:val="005C16CF"/>
    <w:rsid w:val="005C181B"/>
    <w:rsid w:val="005C2A63"/>
    <w:rsid w:val="005C5185"/>
    <w:rsid w:val="005C6172"/>
    <w:rsid w:val="005D3912"/>
    <w:rsid w:val="005D4A31"/>
    <w:rsid w:val="005D4A77"/>
    <w:rsid w:val="005D56C7"/>
    <w:rsid w:val="005D724D"/>
    <w:rsid w:val="005D7F08"/>
    <w:rsid w:val="005E1D91"/>
    <w:rsid w:val="005E2075"/>
    <w:rsid w:val="005E2210"/>
    <w:rsid w:val="005F334B"/>
    <w:rsid w:val="005F6403"/>
    <w:rsid w:val="005F7DFB"/>
    <w:rsid w:val="00604989"/>
    <w:rsid w:val="00607ADB"/>
    <w:rsid w:val="006106D7"/>
    <w:rsid w:val="006113A8"/>
    <w:rsid w:val="00614005"/>
    <w:rsid w:val="006150FE"/>
    <w:rsid w:val="00616791"/>
    <w:rsid w:val="0062188E"/>
    <w:rsid w:val="00624C89"/>
    <w:rsid w:val="00626AE0"/>
    <w:rsid w:val="00626F72"/>
    <w:rsid w:val="00632701"/>
    <w:rsid w:val="0063324F"/>
    <w:rsid w:val="00636C8E"/>
    <w:rsid w:val="00640C03"/>
    <w:rsid w:val="00641D33"/>
    <w:rsid w:val="00641E20"/>
    <w:rsid w:val="00643046"/>
    <w:rsid w:val="006457F0"/>
    <w:rsid w:val="00646BA0"/>
    <w:rsid w:val="00650716"/>
    <w:rsid w:val="00650EA1"/>
    <w:rsid w:val="00661D04"/>
    <w:rsid w:val="0066296E"/>
    <w:rsid w:val="0066526D"/>
    <w:rsid w:val="00667EB7"/>
    <w:rsid w:val="00671478"/>
    <w:rsid w:val="00672AD3"/>
    <w:rsid w:val="006863E0"/>
    <w:rsid w:val="00694695"/>
    <w:rsid w:val="0069473B"/>
    <w:rsid w:val="0069567A"/>
    <w:rsid w:val="006A3247"/>
    <w:rsid w:val="006A4F19"/>
    <w:rsid w:val="006A554E"/>
    <w:rsid w:val="006A55E9"/>
    <w:rsid w:val="006A5848"/>
    <w:rsid w:val="006B1997"/>
    <w:rsid w:val="006B4D7E"/>
    <w:rsid w:val="006B541A"/>
    <w:rsid w:val="006B5952"/>
    <w:rsid w:val="006B7FF1"/>
    <w:rsid w:val="006C0B5F"/>
    <w:rsid w:val="006C3EA2"/>
    <w:rsid w:val="006C5CAB"/>
    <w:rsid w:val="006C7400"/>
    <w:rsid w:val="006C7534"/>
    <w:rsid w:val="006D2B0D"/>
    <w:rsid w:val="006D34F6"/>
    <w:rsid w:val="006D388F"/>
    <w:rsid w:val="006D4356"/>
    <w:rsid w:val="006D5617"/>
    <w:rsid w:val="006E0249"/>
    <w:rsid w:val="006E5280"/>
    <w:rsid w:val="006F4931"/>
    <w:rsid w:val="006F6D30"/>
    <w:rsid w:val="00700A01"/>
    <w:rsid w:val="00700C7A"/>
    <w:rsid w:val="007010AA"/>
    <w:rsid w:val="007021C2"/>
    <w:rsid w:val="007057D0"/>
    <w:rsid w:val="007076ED"/>
    <w:rsid w:val="00713272"/>
    <w:rsid w:val="00713B83"/>
    <w:rsid w:val="00715864"/>
    <w:rsid w:val="00717ABD"/>
    <w:rsid w:val="0072097E"/>
    <w:rsid w:val="00723D0E"/>
    <w:rsid w:val="00725281"/>
    <w:rsid w:val="007259AD"/>
    <w:rsid w:val="00730322"/>
    <w:rsid w:val="00730A8A"/>
    <w:rsid w:val="00730FB1"/>
    <w:rsid w:val="00733D06"/>
    <w:rsid w:val="00734BEE"/>
    <w:rsid w:val="007375EA"/>
    <w:rsid w:val="00741AA1"/>
    <w:rsid w:val="0074334B"/>
    <w:rsid w:val="007439DD"/>
    <w:rsid w:val="00743BBC"/>
    <w:rsid w:val="00745C7C"/>
    <w:rsid w:val="00745D2F"/>
    <w:rsid w:val="00751FA6"/>
    <w:rsid w:val="007563C0"/>
    <w:rsid w:val="00756C42"/>
    <w:rsid w:val="007575ED"/>
    <w:rsid w:val="00762152"/>
    <w:rsid w:val="00771843"/>
    <w:rsid w:val="00772747"/>
    <w:rsid w:val="00773AC9"/>
    <w:rsid w:val="00776C00"/>
    <w:rsid w:val="007832C5"/>
    <w:rsid w:val="00783B6A"/>
    <w:rsid w:val="007906CE"/>
    <w:rsid w:val="00790ACF"/>
    <w:rsid w:val="00791488"/>
    <w:rsid w:val="00793229"/>
    <w:rsid w:val="00793B77"/>
    <w:rsid w:val="0079429F"/>
    <w:rsid w:val="00794625"/>
    <w:rsid w:val="00797DB2"/>
    <w:rsid w:val="007A5B0C"/>
    <w:rsid w:val="007B1229"/>
    <w:rsid w:val="007B3A3F"/>
    <w:rsid w:val="007B4E02"/>
    <w:rsid w:val="007B65F1"/>
    <w:rsid w:val="007C4196"/>
    <w:rsid w:val="007C6FF3"/>
    <w:rsid w:val="007C72E0"/>
    <w:rsid w:val="007C768D"/>
    <w:rsid w:val="007C7AD1"/>
    <w:rsid w:val="007C7F72"/>
    <w:rsid w:val="007D4ACE"/>
    <w:rsid w:val="007D53A3"/>
    <w:rsid w:val="007D6032"/>
    <w:rsid w:val="007D6530"/>
    <w:rsid w:val="007E357D"/>
    <w:rsid w:val="007E6654"/>
    <w:rsid w:val="007F1A4B"/>
    <w:rsid w:val="007F596D"/>
    <w:rsid w:val="00800A10"/>
    <w:rsid w:val="008041B6"/>
    <w:rsid w:val="00805B43"/>
    <w:rsid w:val="008061CE"/>
    <w:rsid w:val="00810A62"/>
    <w:rsid w:val="00814B99"/>
    <w:rsid w:val="00815A56"/>
    <w:rsid w:val="00823508"/>
    <w:rsid w:val="00826611"/>
    <w:rsid w:val="008307D8"/>
    <w:rsid w:val="00842AE9"/>
    <w:rsid w:val="008452E6"/>
    <w:rsid w:val="0084679A"/>
    <w:rsid w:val="008467F0"/>
    <w:rsid w:val="00847302"/>
    <w:rsid w:val="00850711"/>
    <w:rsid w:val="00852B62"/>
    <w:rsid w:val="008570F7"/>
    <w:rsid w:val="00861867"/>
    <w:rsid w:val="00865DAF"/>
    <w:rsid w:val="008712D0"/>
    <w:rsid w:val="00886CCE"/>
    <w:rsid w:val="00887251"/>
    <w:rsid w:val="00891A7A"/>
    <w:rsid w:val="00894E32"/>
    <w:rsid w:val="008A04FE"/>
    <w:rsid w:val="008A0512"/>
    <w:rsid w:val="008A32B8"/>
    <w:rsid w:val="008A5656"/>
    <w:rsid w:val="008A5CCF"/>
    <w:rsid w:val="008A70E6"/>
    <w:rsid w:val="008B101A"/>
    <w:rsid w:val="008B2990"/>
    <w:rsid w:val="008B3FC1"/>
    <w:rsid w:val="008B5601"/>
    <w:rsid w:val="008B57E9"/>
    <w:rsid w:val="008B7C5E"/>
    <w:rsid w:val="008C0E91"/>
    <w:rsid w:val="008D3ED6"/>
    <w:rsid w:val="008D6915"/>
    <w:rsid w:val="008E75E4"/>
    <w:rsid w:val="008F1C58"/>
    <w:rsid w:val="008F222F"/>
    <w:rsid w:val="008F23BB"/>
    <w:rsid w:val="008F72C6"/>
    <w:rsid w:val="00901ABC"/>
    <w:rsid w:val="00902E5B"/>
    <w:rsid w:val="009076FD"/>
    <w:rsid w:val="0090799D"/>
    <w:rsid w:val="009104C5"/>
    <w:rsid w:val="00911BE8"/>
    <w:rsid w:val="00913350"/>
    <w:rsid w:val="009134C2"/>
    <w:rsid w:val="00914A87"/>
    <w:rsid w:val="00915D8C"/>
    <w:rsid w:val="009207C4"/>
    <w:rsid w:val="00920D3E"/>
    <w:rsid w:val="00921CFD"/>
    <w:rsid w:val="00926917"/>
    <w:rsid w:val="00927112"/>
    <w:rsid w:val="00930CB7"/>
    <w:rsid w:val="00937BFD"/>
    <w:rsid w:val="00941403"/>
    <w:rsid w:val="0094153E"/>
    <w:rsid w:val="009416B7"/>
    <w:rsid w:val="009500E8"/>
    <w:rsid w:val="009506A0"/>
    <w:rsid w:val="00953EE9"/>
    <w:rsid w:val="0095583E"/>
    <w:rsid w:val="009642E7"/>
    <w:rsid w:val="00972A66"/>
    <w:rsid w:val="009740B0"/>
    <w:rsid w:val="00976498"/>
    <w:rsid w:val="0097783A"/>
    <w:rsid w:val="00980511"/>
    <w:rsid w:val="00980C8D"/>
    <w:rsid w:val="009830C1"/>
    <w:rsid w:val="00984184"/>
    <w:rsid w:val="00986D80"/>
    <w:rsid w:val="00993B69"/>
    <w:rsid w:val="00995043"/>
    <w:rsid w:val="00995C32"/>
    <w:rsid w:val="00995D7A"/>
    <w:rsid w:val="009A1B63"/>
    <w:rsid w:val="009A2F05"/>
    <w:rsid w:val="009A5A74"/>
    <w:rsid w:val="009A69A8"/>
    <w:rsid w:val="009A7423"/>
    <w:rsid w:val="009B29C2"/>
    <w:rsid w:val="009B2B65"/>
    <w:rsid w:val="009B62E5"/>
    <w:rsid w:val="009C0AF7"/>
    <w:rsid w:val="009C17F6"/>
    <w:rsid w:val="009C3C26"/>
    <w:rsid w:val="009C42EE"/>
    <w:rsid w:val="009C55DD"/>
    <w:rsid w:val="009C5B8F"/>
    <w:rsid w:val="009C7B81"/>
    <w:rsid w:val="009D0864"/>
    <w:rsid w:val="009D300F"/>
    <w:rsid w:val="009D3939"/>
    <w:rsid w:val="009D3E64"/>
    <w:rsid w:val="009D3E83"/>
    <w:rsid w:val="009D59AD"/>
    <w:rsid w:val="009E0D33"/>
    <w:rsid w:val="009E3B15"/>
    <w:rsid w:val="009E6C3E"/>
    <w:rsid w:val="009E7830"/>
    <w:rsid w:val="00A01755"/>
    <w:rsid w:val="00A02D95"/>
    <w:rsid w:val="00A1628E"/>
    <w:rsid w:val="00A16548"/>
    <w:rsid w:val="00A16DA4"/>
    <w:rsid w:val="00A20EF8"/>
    <w:rsid w:val="00A246DB"/>
    <w:rsid w:val="00A269E4"/>
    <w:rsid w:val="00A26DE5"/>
    <w:rsid w:val="00A34057"/>
    <w:rsid w:val="00A34149"/>
    <w:rsid w:val="00A35342"/>
    <w:rsid w:val="00A35376"/>
    <w:rsid w:val="00A36671"/>
    <w:rsid w:val="00A4059B"/>
    <w:rsid w:val="00A41318"/>
    <w:rsid w:val="00A44781"/>
    <w:rsid w:val="00A44DBA"/>
    <w:rsid w:val="00A45F47"/>
    <w:rsid w:val="00A51690"/>
    <w:rsid w:val="00A5245C"/>
    <w:rsid w:val="00A52BB8"/>
    <w:rsid w:val="00A55104"/>
    <w:rsid w:val="00A57E03"/>
    <w:rsid w:val="00A620A0"/>
    <w:rsid w:val="00A70114"/>
    <w:rsid w:val="00A73B34"/>
    <w:rsid w:val="00A76782"/>
    <w:rsid w:val="00A770BA"/>
    <w:rsid w:val="00A80118"/>
    <w:rsid w:val="00A818D6"/>
    <w:rsid w:val="00A85F06"/>
    <w:rsid w:val="00A9070E"/>
    <w:rsid w:val="00A91FA0"/>
    <w:rsid w:val="00A960A2"/>
    <w:rsid w:val="00AA11F3"/>
    <w:rsid w:val="00AA1C67"/>
    <w:rsid w:val="00AA4034"/>
    <w:rsid w:val="00AA56AE"/>
    <w:rsid w:val="00AA6916"/>
    <w:rsid w:val="00AA78BD"/>
    <w:rsid w:val="00AB1331"/>
    <w:rsid w:val="00AB4C14"/>
    <w:rsid w:val="00AB694D"/>
    <w:rsid w:val="00AC36DB"/>
    <w:rsid w:val="00AC6478"/>
    <w:rsid w:val="00AC6B40"/>
    <w:rsid w:val="00AD5AAD"/>
    <w:rsid w:val="00AD5D77"/>
    <w:rsid w:val="00AD5E8B"/>
    <w:rsid w:val="00AF2752"/>
    <w:rsid w:val="00AF2B53"/>
    <w:rsid w:val="00AF4331"/>
    <w:rsid w:val="00B00173"/>
    <w:rsid w:val="00B055EB"/>
    <w:rsid w:val="00B06333"/>
    <w:rsid w:val="00B14DFC"/>
    <w:rsid w:val="00B15A6C"/>
    <w:rsid w:val="00B205DD"/>
    <w:rsid w:val="00B244FD"/>
    <w:rsid w:val="00B252A4"/>
    <w:rsid w:val="00B335C2"/>
    <w:rsid w:val="00B361C1"/>
    <w:rsid w:val="00B41F1A"/>
    <w:rsid w:val="00B43557"/>
    <w:rsid w:val="00B51AFB"/>
    <w:rsid w:val="00B52723"/>
    <w:rsid w:val="00B53842"/>
    <w:rsid w:val="00B547BD"/>
    <w:rsid w:val="00B54D21"/>
    <w:rsid w:val="00B5562F"/>
    <w:rsid w:val="00B62AF4"/>
    <w:rsid w:val="00B638D8"/>
    <w:rsid w:val="00B7678B"/>
    <w:rsid w:val="00B77094"/>
    <w:rsid w:val="00B8227D"/>
    <w:rsid w:val="00B8276A"/>
    <w:rsid w:val="00B83951"/>
    <w:rsid w:val="00B858B3"/>
    <w:rsid w:val="00B90D64"/>
    <w:rsid w:val="00B93610"/>
    <w:rsid w:val="00B93DE2"/>
    <w:rsid w:val="00BA37D8"/>
    <w:rsid w:val="00BA42A5"/>
    <w:rsid w:val="00BA46EA"/>
    <w:rsid w:val="00BA54D3"/>
    <w:rsid w:val="00BA56FF"/>
    <w:rsid w:val="00BB1391"/>
    <w:rsid w:val="00BC0138"/>
    <w:rsid w:val="00BC45AB"/>
    <w:rsid w:val="00BC770C"/>
    <w:rsid w:val="00BD19DE"/>
    <w:rsid w:val="00BD49B1"/>
    <w:rsid w:val="00BD6DF6"/>
    <w:rsid w:val="00BD7993"/>
    <w:rsid w:val="00BE0386"/>
    <w:rsid w:val="00BE1926"/>
    <w:rsid w:val="00BE49C2"/>
    <w:rsid w:val="00BE5213"/>
    <w:rsid w:val="00BF0B6E"/>
    <w:rsid w:val="00BF3B0E"/>
    <w:rsid w:val="00BF3FA6"/>
    <w:rsid w:val="00BF4191"/>
    <w:rsid w:val="00BF49EF"/>
    <w:rsid w:val="00BF5D67"/>
    <w:rsid w:val="00C0316C"/>
    <w:rsid w:val="00C1182E"/>
    <w:rsid w:val="00C2247A"/>
    <w:rsid w:val="00C22A55"/>
    <w:rsid w:val="00C233EC"/>
    <w:rsid w:val="00C238A2"/>
    <w:rsid w:val="00C23B3C"/>
    <w:rsid w:val="00C40236"/>
    <w:rsid w:val="00C43DB0"/>
    <w:rsid w:val="00C45887"/>
    <w:rsid w:val="00C521B2"/>
    <w:rsid w:val="00C525EA"/>
    <w:rsid w:val="00C5294E"/>
    <w:rsid w:val="00C559EF"/>
    <w:rsid w:val="00C56474"/>
    <w:rsid w:val="00C60BA7"/>
    <w:rsid w:val="00C630E7"/>
    <w:rsid w:val="00C66262"/>
    <w:rsid w:val="00C669A0"/>
    <w:rsid w:val="00C70B9B"/>
    <w:rsid w:val="00C71B92"/>
    <w:rsid w:val="00C73B43"/>
    <w:rsid w:val="00C76AB4"/>
    <w:rsid w:val="00C82886"/>
    <w:rsid w:val="00C85171"/>
    <w:rsid w:val="00C86FEE"/>
    <w:rsid w:val="00C9016E"/>
    <w:rsid w:val="00C901C5"/>
    <w:rsid w:val="00C908C5"/>
    <w:rsid w:val="00C92B67"/>
    <w:rsid w:val="00C951BF"/>
    <w:rsid w:val="00C9543A"/>
    <w:rsid w:val="00CA0717"/>
    <w:rsid w:val="00CA1710"/>
    <w:rsid w:val="00CA272D"/>
    <w:rsid w:val="00CA4CD2"/>
    <w:rsid w:val="00CA4FB7"/>
    <w:rsid w:val="00CA58E8"/>
    <w:rsid w:val="00CA7A74"/>
    <w:rsid w:val="00CB06F5"/>
    <w:rsid w:val="00CB171A"/>
    <w:rsid w:val="00CB1A8F"/>
    <w:rsid w:val="00CB33D5"/>
    <w:rsid w:val="00CB68CD"/>
    <w:rsid w:val="00CC0EFD"/>
    <w:rsid w:val="00CC21AC"/>
    <w:rsid w:val="00CC3E96"/>
    <w:rsid w:val="00CD03CC"/>
    <w:rsid w:val="00CD0528"/>
    <w:rsid w:val="00CD0990"/>
    <w:rsid w:val="00CD1EE0"/>
    <w:rsid w:val="00CD682B"/>
    <w:rsid w:val="00CE2938"/>
    <w:rsid w:val="00CE32C4"/>
    <w:rsid w:val="00CE6163"/>
    <w:rsid w:val="00CF0319"/>
    <w:rsid w:val="00CF287E"/>
    <w:rsid w:val="00CF41D3"/>
    <w:rsid w:val="00CF45E8"/>
    <w:rsid w:val="00CF50A5"/>
    <w:rsid w:val="00CF7A74"/>
    <w:rsid w:val="00D0207A"/>
    <w:rsid w:val="00D02B78"/>
    <w:rsid w:val="00D12BE1"/>
    <w:rsid w:val="00D142D3"/>
    <w:rsid w:val="00D21E68"/>
    <w:rsid w:val="00D249D3"/>
    <w:rsid w:val="00D3048F"/>
    <w:rsid w:val="00D3120D"/>
    <w:rsid w:val="00D32B0A"/>
    <w:rsid w:val="00D37A43"/>
    <w:rsid w:val="00D407EA"/>
    <w:rsid w:val="00D437F9"/>
    <w:rsid w:val="00D47B33"/>
    <w:rsid w:val="00D50C2E"/>
    <w:rsid w:val="00D53A57"/>
    <w:rsid w:val="00D54561"/>
    <w:rsid w:val="00D61993"/>
    <w:rsid w:val="00D622CD"/>
    <w:rsid w:val="00D70A35"/>
    <w:rsid w:val="00D72E94"/>
    <w:rsid w:val="00D7349B"/>
    <w:rsid w:val="00D737B0"/>
    <w:rsid w:val="00D75B02"/>
    <w:rsid w:val="00D80DAF"/>
    <w:rsid w:val="00D852A2"/>
    <w:rsid w:val="00D93F55"/>
    <w:rsid w:val="00DA29C7"/>
    <w:rsid w:val="00DA2F7C"/>
    <w:rsid w:val="00DA44ED"/>
    <w:rsid w:val="00DA4610"/>
    <w:rsid w:val="00DB1ED8"/>
    <w:rsid w:val="00DB2B3B"/>
    <w:rsid w:val="00DB3187"/>
    <w:rsid w:val="00DB4BD9"/>
    <w:rsid w:val="00DB5EA7"/>
    <w:rsid w:val="00DC413F"/>
    <w:rsid w:val="00DD6909"/>
    <w:rsid w:val="00DD6C92"/>
    <w:rsid w:val="00DD772F"/>
    <w:rsid w:val="00DE5712"/>
    <w:rsid w:val="00DE608C"/>
    <w:rsid w:val="00DF3DB7"/>
    <w:rsid w:val="00DF548E"/>
    <w:rsid w:val="00E0054E"/>
    <w:rsid w:val="00E0266B"/>
    <w:rsid w:val="00E04933"/>
    <w:rsid w:val="00E11F30"/>
    <w:rsid w:val="00E12AE7"/>
    <w:rsid w:val="00E14A80"/>
    <w:rsid w:val="00E14A81"/>
    <w:rsid w:val="00E16271"/>
    <w:rsid w:val="00E17A8F"/>
    <w:rsid w:val="00E211BE"/>
    <w:rsid w:val="00E21237"/>
    <w:rsid w:val="00E21725"/>
    <w:rsid w:val="00E22DA5"/>
    <w:rsid w:val="00E2659C"/>
    <w:rsid w:val="00E3122C"/>
    <w:rsid w:val="00E31425"/>
    <w:rsid w:val="00E33812"/>
    <w:rsid w:val="00E341BA"/>
    <w:rsid w:val="00E351AC"/>
    <w:rsid w:val="00E37C96"/>
    <w:rsid w:val="00E40020"/>
    <w:rsid w:val="00E4139E"/>
    <w:rsid w:val="00E41ECD"/>
    <w:rsid w:val="00E44E44"/>
    <w:rsid w:val="00E46A71"/>
    <w:rsid w:val="00E4739B"/>
    <w:rsid w:val="00E5655A"/>
    <w:rsid w:val="00E57490"/>
    <w:rsid w:val="00E622C1"/>
    <w:rsid w:val="00E6405E"/>
    <w:rsid w:val="00E72E6D"/>
    <w:rsid w:val="00E75AAC"/>
    <w:rsid w:val="00E80E8F"/>
    <w:rsid w:val="00E82C1F"/>
    <w:rsid w:val="00E85CDC"/>
    <w:rsid w:val="00E86B52"/>
    <w:rsid w:val="00E91100"/>
    <w:rsid w:val="00E9449B"/>
    <w:rsid w:val="00E94DB2"/>
    <w:rsid w:val="00EA1229"/>
    <w:rsid w:val="00EA2398"/>
    <w:rsid w:val="00EA24C0"/>
    <w:rsid w:val="00EA397C"/>
    <w:rsid w:val="00EA6062"/>
    <w:rsid w:val="00EA624B"/>
    <w:rsid w:val="00EA7802"/>
    <w:rsid w:val="00EB033F"/>
    <w:rsid w:val="00EB0B15"/>
    <w:rsid w:val="00EB1C81"/>
    <w:rsid w:val="00EB2FBC"/>
    <w:rsid w:val="00EB31C1"/>
    <w:rsid w:val="00EB6A4A"/>
    <w:rsid w:val="00EC44AB"/>
    <w:rsid w:val="00EC71E0"/>
    <w:rsid w:val="00ED0F93"/>
    <w:rsid w:val="00ED3BE3"/>
    <w:rsid w:val="00ED4FB8"/>
    <w:rsid w:val="00ED6F02"/>
    <w:rsid w:val="00EE1FA1"/>
    <w:rsid w:val="00EE27A8"/>
    <w:rsid w:val="00EE2D30"/>
    <w:rsid w:val="00EE398A"/>
    <w:rsid w:val="00EF2238"/>
    <w:rsid w:val="00EF2551"/>
    <w:rsid w:val="00EF293C"/>
    <w:rsid w:val="00EF3B57"/>
    <w:rsid w:val="00F010C3"/>
    <w:rsid w:val="00F0430A"/>
    <w:rsid w:val="00F109A6"/>
    <w:rsid w:val="00F11D70"/>
    <w:rsid w:val="00F124E9"/>
    <w:rsid w:val="00F2372F"/>
    <w:rsid w:val="00F23CF9"/>
    <w:rsid w:val="00F24B3C"/>
    <w:rsid w:val="00F25DA2"/>
    <w:rsid w:val="00F2778F"/>
    <w:rsid w:val="00F35EA6"/>
    <w:rsid w:val="00F36D6F"/>
    <w:rsid w:val="00F37A08"/>
    <w:rsid w:val="00F40967"/>
    <w:rsid w:val="00F413A3"/>
    <w:rsid w:val="00F4720D"/>
    <w:rsid w:val="00F50685"/>
    <w:rsid w:val="00F50FE4"/>
    <w:rsid w:val="00F521BE"/>
    <w:rsid w:val="00F6276B"/>
    <w:rsid w:val="00F6376F"/>
    <w:rsid w:val="00F65C56"/>
    <w:rsid w:val="00F66030"/>
    <w:rsid w:val="00F6781F"/>
    <w:rsid w:val="00F74459"/>
    <w:rsid w:val="00F74592"/>
    <w:rsid w:val="00F7556A"/>
    <w:rsid w:val="00F8178E"/>
    <w:rsid w:val="00F85EAD"/>
    <w:rsid w:val="00F866D0"/>
    <w:rsid w:val="00F90F24"/>
    <w:rsid w:val="00FA1B9F"/>
    <w:rsid w:val="00FA1FF7"/>
    <w:rsid w:val="00FA3936"/>
    <w:rsid w:val="00FA48C9"/>
    <w:rsid w:val="00FA7650"/>
    <w:rsid w:val="00FB394E"/>
    <w:rsid w:val="00FB3CD6"/>
    <w:rsid w:val="00FB6E53"/>
    <w:rsid w:val="00FC06C6"/>
    <w:rsid w:val="00FC1331"/>
    <w:rsid w:val="00FC1492"/>
    <w:rsid w:val="00FD0620"/>
    <w:rsid w:val="00FD0797"/>
    <w:rsid w:val="00FD18A9"/>
    <w:rsid w:val="00FD2EAF"/>
    <w:rsid w:val="00FD3BE1"/>
    <w:rsid w:val="00FD3EF1"/>
    <w:rsid w:val="00FD5055"/>
    <w:rsid w:val="00FD75C5"/>
    <w:rsid w:val="00FD7744"/>
    <w:rsid w:val="00FE3698"/>
    <w:rsid w:val="00FE40FD"/>
    <w:rsid w:val="00FE6E94"/>
    <w:rsid w:val="00FF3E7F"/>
    <w:rsid w:val="00FF77CE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CE0A1E"/>
  <w15:chartTrackingRefBased/>
  <w15:docId w15:val="{F70466A2-3332-4E1F-9C3B-59FD080B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caption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F19"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link w:val="Heading1Char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autoRedefine/>
    <w:qFormat/>
    <w:rsid w:val="004124F6"/>
    <w:pPr>
      <w:spacing w:after="60"/>
      <w:ind w:left="142" w:hanging="142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0701F2"/>
    <w:pPr>
      <w:numPr>
        <w:numId w:val="6"/>
      </w:numPr>
    </w:pPr>
    <w:rPr>
      <w:lang w:eastAsia="en-US"/>
    </w:rPr>
  </w:style>
  <w:style w:type="paragraph" w:styleId="ListBullet2">
    <w:name w:val="List Bullet 2"/>
    <w:basedOn w:val="Text2"/>
    <w:rsid w:val="000701F2"/>
    <w:pPr>
      <w:numPr>
        <w:numId w:val="8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0701F2"/>
    <w:pPr>
      <w:numPr>
        <w:numId w:val="9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0701F2"/>
    <w:pPr>
      <w:numPr>
        <w:numId w:val="10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0701F2"/>
    <w:pPr>
      <w:numPr>
        <w:numId w:val="16"/>
      </w:numPr>
    </w:pPr>
    <w:rPr>
      <w:lang w:eastAsia="en-US"/>
    </w:rPr>
  </w:style>
  <w:style w:type="paragraph" w:styleId="ListNumber2">
    <w:name w:val="List Number 2"/>
    <w:basedOn w:val="Text2"/>
    <w:rsid w:val="000701F2"/>
    <w:pPr>
      <w:numPr>
        <w:numId w:val="18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0701F2"/>
    <w:pPr>
      <w:numPr>
        <w:numId w:val="19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0701F2"/>
    <w:pPr>
      <w:numPr>
        <w:numId w:val="20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894E32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894E32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894E32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0701F2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,FR1,note T"/>
    <w:link w:val="Char2"/>
    <w:qFormat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1701"/>
        <w:tab w:val="left" w:pos="2552"/>
      </w:tabs>
      <w:outlineLvl w:val="9"/>
    </w:pPr>
    <w:rPr>
      <w:rFonts w:ascii="Arial" w:hAnsi="Arial"/>
      <w:b w:val="0"/>
      <w:caps/>
      <w:smallCaps w:val="0"/>
      <w:kern w:val="0"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0701F2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0701F2"/>
    <w:pPr>
      <w:numPr>
        <w:numId w:val="7"/>
      </w:numPr>
    </w:pPr>
    <w:rPr>
      <w:lang w:eastAsia="en-US"/>
    </w:rPr>
  </w:style>
  <w:style w:type="paragraph" w:customStyle="1" w:styleId="ListDash">
    <w:name w:val="List Dash"/>
    <w:basedOn w:val="Normal"/>
    <w:rsid w:val="000701F2"/>
    <w:pPr>
      <w:numPr>
        <w:numId w:val="11"/>
      </w:numPr>
    </w:pPr>
    <w:rPr>
      <w:lang w:eastAsia="en-US"/>
    </w:rPr>
  </w:style>
  <w:style w:type="paragraph" w:customStyle="1" w:styleId="ListDash1">
    <w:name w:val="List Dash 1"/>
    <w:basedOn w:val="Text1"/>
    <w:rsid w:val="000701F2"/>
    <w:pPr>
      <w:numPr>
        <w:numId w:val="12"/>
      </w:numPr>
    </w:pPr>
    <w:rPr>
      <w:lang w:eastAsia="en-US"/>
    </w:rPr>
  </w:style>
  <w:style w:type="paragraph" w:customStyle="1" w:styleId="ListDash2">
    <w:name w:val="List Dash 2"/>
    <w:basedOn w:val="Text2"/>
    <w:rsid w:val="000701F2"/>
    <w:pPr>
      <w:numPr>
        <w:numId w:val="13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0701F2"/>
    <w:pPr>
      <w:numPr>
        <w:numId w:val="14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0701F2"/>
    <w:pPr>
      <w:numPr>
        <w:numId w:val="15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0701F2"/>
    <w:pPr>
      <w:numPr>
        <w:numId w:val="17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0701F2"/>
    <w:pPr>
      <w:numPr>
        <w:ilvl w:val="1"/>
        <w:numId w:val="16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0701F2"/>
    <w:pPr>
      <w:numPr>
        <w:ilvl w:val="1"/>
        <w:numId w:val="17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0701F2"/>
    <w:pPr>
      <w:numPr>
        <w:ilvl w:val="1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0701F2"/>
    <w:pPr>
      <w:numPr>
        <w:ilvl w:val="1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0701F2"/>
    <w:pPr>
      <w:numPr>
        <w:ilvl w:val="1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0701F2"/>
    <w:pPr>
      <w:numPr>
        <w:ilvl w:val="2"/>
        <w:numId w:val="16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0701F2"/>
    <w:pPr>
      <w:numPr>
        <w:ilvl w:val="2"/>
        <w:numId w:val="17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0701F2"/>
    <w:pPr>
      <w:numPr>
        <w:ilvl w:val="2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0701F2"/>
    <w:pPr>
      <w:numPr>
        <w:ilvl w:val="2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0701F2"/>
    <w:pPr>
      <w:numPr>
        <w:ilvl w:val="2"/>
        <w:numId w:val="20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0701F2"/>
    <w:pPr>
      <w:numPr>
        <w:ilvl w:val="3"/>
        <w:numId w:val="16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0701F2"/>
    <w:pPr>
      <w:numPr>
        <w:ilvl w:val="3"/>
        <w:numId w:val="17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0701F2"/>
    <w:pPr>
      <w:numPr>
        <w:ilvl w:val="3"/>
        <w:numId w:val="18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0701F2"/>
    <w:pPr>
      <w:numPr>
        <w:ilvl w:val="3"/>
        <w:numId w:val="19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0701F2"/>
    <w:pPr>
      <w:numPr>
        <w:ilvl w:val="3"/>
        <w:numId w:val="20"/>
      </w:numPr>
      <w:tabs>
        <w:tab w:val="clear" w:pos="2302"/>
      </w:tabs>
    </w:pPr>
    <w:rPr>
      <w:lang w:eastAsia="en-US"/>
    </w:rPr>
  </w:style>
  <w:style w:type="paragraph" w:styleId="TOCHeading">
    <w:name w:val="TOC Heading"/>
    <w:basedOn w:val="Normal"/>
    <w:next w:val="Normal"/>
    <w:qFormat/>
    <w:rsid w:val="000701F2"/>
    <w:pPr>
      <w:keepNext/>
      <w:spacing w:before="240"/>
      <w:jc w:val="center"/>
    </w:pPr>
    <w:rPr>
      <w:b/>
      <w:lang w:eastAsia="en-US"/>
    </w:rPr>
  </w:style>
  <w:style w:type="character" w:styleId="FollowedHyperlink">
    <w:name w:val="FollowedHyperlink"/>
    <w:rsid w:val="00AA6916"/>
    <w:rPr>
      <w:color w:val="606420"/>
      <w:u w:val="single"/>
    </w:rPr>
  </w:style>
  <w:style w:type="character" w:styleId="CommentReference">
    <w:name w:val="annotation reference"/>
    <w:uiPriority w:val="99"/>
    <w:rsid w:val="0037119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7119C"/>
    <w:rPr>
      <w:b/>
      <w:bCs/>
    </w:rPr>
  </w:style>
  <w:style w:type="paragraph" w:styleId="BalloonText">
    <w:name w:val="Balloon Text"/>
    <w:basedOn w:val="Normal"/>
    <w:semiHidden/>
    <w:rsid w:val="0037119C"/>
    <w:rPr>
      <w:rFonts w:ascii="Tahoma" w:hAnsi="Tahoma"/>
      <w:sz w:val="16"/>
      <w:szCs w:val="16"/>
    </w:rPr>
  </w:style>
  <w:style w:type="character" w:styleId="Emphasis">
    <w:name w:val="Emphasis"/>
    <w:uiPriority w:val="20"/>
    <w:qFormat/>
    <w:rsid w:val="00D32B0A"/>
    <w:rPr>
      <w:i/>
    </w:rPr>
  </w:style>
  <w:style w:type="character" w:customStyle="1" w:styleId="DefaultMargins">
    <w:name w:val="DefaultMargins"/>
    <w:rsid w:val="00C233EC"/>
    <w:rPr>
      <w:rFonts w:ascii="Times New Roman" w:hAnsi="Times New Roman" w:cs="Times New Roman"/>
      <w:sz w:val="24"/>
      <w:szCs w:val="24"/>
      <w:lang w:val="en-US"/>
    </w:rPr>
  </w:style>
  <w:style w:type="character" w:customStyle="1" w:styleId="tw4winMark">
    <w:name w:val="tw4winMark"/>
    <w:rsid w:val="00C233EC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character" w:customStyle="1" w:styleId="Heading1Char">
    <w:name w:val="Heading 1 Char"/>
    <w:link w:val="Heading1"/>
    <w:rsid w:val="00C233EC"/>
    <w:rPr>
      <w:b/>
      <w:smallCaps/>
      <w:kern w:val="28"/>
      <w:sz w:val="24"/>
    </w:rPr>
  </w:style>
  <w:style w:type="paragraph" w:customStyle="1" w:styleId="StyleListNumber11ptBold">
    <w:name w:val="Style List Number + 11 pt Bold"/>
    <w:basedOn w:val="ListNumber"/>
    <w:autoRedefine/>
    <w:rsid w:val="003478ED"/>
    <w:pPr>
      <w:numPr>
        <w:numId w:val="0"/>
      </w:numPr>
    </w:pPr>
    <w:rPr>
      <w:b/>
      <w:bCs/>
      <w:szCs w:val="24"/>
    </w:rPr>
  </w:style>
  <w:style w:type="character" w:customStyle="1" w:styleId="StyleFootnoteReferenceTimesNewRoman11pt">
    <w:name w:val="Style Footnote Reference + Times New Roman 11 pt"/>
    <w:rsid w:val="00A91FA0"/>
    <w:rPr>
      <w:rFonts w:ascii="Times New Roman" w:hAnsi="Times New Roman"/>
      <w:position w:val="6"/>
      <w:sz w:val="20"/>
    </w:rPr>
  </w:style>
  <w:style w:type="character" w:customStyle="1" w:styleId="CommentTextChar">
    <w:name w:val="Comment Text Char"/>
    <w:link w:val="CommentText"/>
    <w:uiPriority w:val="99"/>
    <w:semiHidden/>
    <w:rsid w:val="00F90F24"/>
  </w:style>
  <w:style w:type="paragraph" w:styleId="Revision">
    <w:name w:val="Revision"/>
    <w:hidden/>
    <w:uiPriority w:val="99"/>
    <w:semiHidden/>
    <w:rsid w:val="00016DC6"/>
    <w:rPr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55978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link w:val="FootnoteText"/>
    <w:rsid w:val="004124F6"/>
  </w:style>
  <w:style w:type="paragraph" w:customStyle="1" w:styleId="Char2">
    <w:name w:val="Char2"/>
    <w:basedOn w:val="Normal"/>
    <w:link w:val="FootnoteReference"/>
    <w:rsid w:val="00CE2938"/>
    <w:pPr>
      <w:spacing w:after="160" w:line="240" w:lineRule="exact"/>
      <w:jc w:val="left"/>
    </w:pPr>
    <w:rPr>
      <w:rFonts w:ascii="TimesNewRomanPS" w:hAnsi="TimesNewRomanPS"/>
      <w:position w:val="6"/>
      <w:sz w:val="16"/>
    </w:rPr>
  </w:style>
  <w:style w:type="character" w:customStyle="1" w:styleId="Bodytext1">
    <w:name w:val="Body text|1_"/>
    <w:link w:val="Bodytext10"/>
    <w:rsid w:val="00185D7E"/>
    <w:rPr>
      <w:sz w:val="22"/>
      <w:szCs w:val="22"/>
    </w:rPr>
  </w:style>
  <w:style w:type="paragraph" w:customStyle="1" w:styleId="Bodytext10">
    <w:name w:val="Body text|1"/>
    <w:basedOn w:val="Normal"/>
    <w:link w:val="Bodytext1"/>
    <w:rsid w:val="00185D7E"/>
    <w:pPr>
      <w:widowControl w:val="0"/>
      <w:spacing w:after="120"/>
      <w:jc w:val="left"/>
    </w:pPr>
    <w:rPr>
      <w:sz w:val="22"/>
      <w:szCs w:val="22"/>
    </w:rPr>
  </w:style>
  <w:style w:type="character" w:customStyle="1" w:styleId="normaltextrun">
    <w:name w:val="normaltextrun"/>
    <w:rsid w:val="007021C2"/>
  </w:style>
  <w:style w:type="paragraph" w:customStyle="1" w:styleId="paragraph">
    <w:name w:val="paragraph"/>
    <w:basedOn w:val="Normal"/>
    <w:rsid w:val="00516597"/>
    <w:pPr>
      <w:spacing w:before="100" w:beforeAutospacing="1" w:after="100" w:afterAutospacing="1"/>
      <w:jc w:val="left"/>
    </w:pPr>
    <w:rPr>
      <w:szCs w:val="24"/>
      <w:lang w:val="fr-BE" w:eastAsia="fr-BE"/>
    </w:rPr>
  </w:style>
  <w:style w:type="character" w:customStyle="1" w:styleId="eop">
    <w:name w:val="eop"/>
    <w:rsid w:val="00516597"/>
  </w:style>
  <w:style w:type="character" w:customStyle="1" w:styleId="UnresolvedMention">
    <w:name w:val="Unresolved Mention"/>
    <w:uiPriority w:val="99"/>
    <w:semiHidden/>
    <w:unhideWhenUsed/>
    <w:rsid w:val="00790AC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A5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3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51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55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985889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76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reg-hr-ba-me.eu/documents/implemen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1946-6316-4781-AC62-669999BE8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327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European Commission</Company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Roslyn Bottoni</dc:creator>
  <cp:keywords>EL3</cp:keywords>
  <cp:lastModifiedBy>Biljana Trtica</cp:lastModifiedBy>
  <cp:revision>19</cp:revision>
  <cp:lastPrinted>2014-03-20T14:50:00Z</cp:lastPrinted>
  <dcterms:created xsi:type="dcterms:W3CDTF">2024-06-17T15:00:00Z</dcterms:created>
  <dcterms:modified xsi:type="dcterms:W3CDTF">2026-02-15T16:32:00Z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Checked by">
    <vt:lpwstr>cajalja</vt:lpwstr>
  </property>
  <property fmtid="{D5CDD505-2E9C-101B-9397-08002B2CF9AE}" pid="7" name="Editor">
    <vt:lpwstr>kilbyrn</vt:lpwstr>
  </property>
  <property fmtid="{D5CDD505-2E9C-101B-9397-08002B2CF9AE}" pid="8" name="ELDocType">
    <vt:lpwstr>REP.DOT</vt:lpwstr>
  </property>
  <property fmtid="{D5CDD505-2E9C-101B-9397-08002B2CF9AE}" pid="9" name="MSIP_Label_f4cdc456-5864-460f-beda-883d23b78bbb_Enabled">
    <vt:lpwstr>true</vt:lpwstr>
  </property>
  <property fmtid="{D5CDD505-2E9C-101B-9397-08002B2CF9AE}" pid="10" name="MSIP_Label_f4cdc456-5864-460f-beda-883d23b78bbb_SetDate">
    <vt:lpwstr>2023-01-19T16:44:26Z</vt:lpwstr>
  </property>
  <property fmtid="{D5CDD505-2E9C-101B-9397-08002B2CF9AE}" pid="11" name="MSIP_Label_f4cdc456-5864-460f-beda-883d23b78bbb_Method">
    <vt:lpwstr>Privileged</vt:lpwstr>
  </property>
  <property fmtid="{D5CDD505-2E9C-101B-9397-08002B2CF9AE}" pid="12" name="MSIP_Label_f4cdc456-5864-460f-beda-883d23b78bbb_Name">
    <vt:lpwstr>Publicly Available</vt:lpwstr>
  </property>
  <property fmtid="{D5CDD505-2E9C-101B-9397-08002B2CF9AE}" pid="13" name="MSIP_Label_f4cdc456-5864-460f-beda-883d23b78bbb_SiteId">
    <vt:lpwstr>b24c8b06-522c-46fe-9080-70926f8dddb1</vt:lpwstr>
  </property>
  <property fmtid="{D5CDD505-2E9C-101B-9397-08002B2CF9AE}" pid="14" name="MSIP_Label_f4cdc456-5864-460f-beda-883d23b78bbb_ActionId">
    <vt:lpwstr>96934cd0-59d2-4a44-959d-b3583fbd8fc4</vt:lpwstr>
  </property>
  <property fmtid="{D5CDD505-2E9C-101B-9397-08002B2CF9AE}" pid="15" name="MSIP_Label_f4cdc456-5864-460f-beda-883d23b78bbb_ContentBits">
    <vt:lpwstr>0</vt:lpwstr>
  </property>
</Properties>
</file>